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ascii="宋体" w:hAnsi="宋体" w:eastAsia="宋体" w:cs="宋体"/>
          <w:sz w:val="32"/>
          <w:szCs w:val="32"/>
        </w:rPr>
      </w:pPr>
      <w:r>
        <w:rPr>
          <w:rFonts w:hint="eastAsia" w:ascii="宋体" w:hAnsi="宋体" w:eastAsia="宋体" w:cs="宋体"/>
          <w:sz w:val="32"/>
          <w:szCs w:val="32"/>
        </w:rPr>
        <w:t>附件3</w:t>
      </w:r>
    </w:p>
    <w:p>
      <w:pPr>
        <w:ind w:right="85"/>
        <w:rPr>
          <w:rFonts w:cs="Times New Roman"/>
          <w:b/>
          <w:bCs/>
          <w:sz w:val="40"/>
          <w:szCs w:val="40"/>
        </w:rPr>
      </w:pPr>
    </w:p>
    <w:p>
      <w:pPr>
        <w:ind w:right="85"/>
        <w:rPr>
          <w:rFonts w:cs="Times New Roman"/>
          <w:b/>
          <w:bCs/>
          <w:sz w:val="40"/>
          <w:szCs w:val="40"/>
        </w:rPr>
      </w:pPr>
    </w:p>
    <w:p>
      <w:pPr>
        <w:jc w:val="center"/>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《贺州市中心城区地下空间专项规划（2021—2035年）》项目支出绩效自评报告</w:t>
      </w:r>
    </w:p>
    <w:p>
      <w:pPr>
        <w:rPr>
          <w:rFonts w:hAnsi="宋体"/>
        </w:rPr>
      </w:pPr>
    </w:p>
    <w:p>
      <w:pPr>
        <w:pStyle w:val="4"/>
        <w:spacing w:line="560" w:lineRule="exact"/>
        <w:rPr>
          <w:rFonts w:ascii="仿宋_GB2312" w:hAnsi="仿宋_GB2312" w:eastAsia="仿宋_GB2312" w:cs="仿宋_GB2312"/>
          <w:sz w:val="32"/>
          <w:szCs w:val="32"/>
        </w:rPr>
      </w:pPr>
    </w:p>
    <w:p>
      <w:pPr>
        <w:pStyle w:val="4"/>
        <w:spacing w:line="560" w:lineRule="exact"/>
        <w:rPr>
          <w:rFonts w:ascii="仿宋_GB2312" w:hAnsi="仿宋_GB2312" w:eastAsia="仿宋_GB2312" w:cs="仿宋_GB2312"/>
          <w:sz w:val="32"/>
          <w:szCs w:val="32"/>
        </w:rPr>
      </w:pPr>
    </w:p>
    <w:p>
      <w:pPr>
        <w:pStyle w:val="4"/>
        <w:spacing w:line="560" w:lineRule="exact"/>
        <w:rPr>
          <w:rFonts w:ascii="仿宋_GB2312" w:hAnsi="仿宋_GB2312" w:eastAsia="仿宋_GB2312" w:cs="仿宋_GB2312"/>
          <w:sz w:val="32"/>
          <w:szCs w:val="32"/>
        </w:rPr>
      </w:pPr>
    </w:p>
    <w:p>
      <w:pPr>
        <w:pStyle w:val="4"/>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spacing w:line="560" w:lineRule="exact"/>
        <w:ind w:left="2396" w:leftChars="284" w:hanging="1800" w:hangingChars="600"/>
        <w:rPr>
          <w:rFonts w:hAnsi="宋体" w:eastAsia="宋体" w:cs="宋体"/>
          <w:sz w:val="30"/>
          <w:szCs w:val="30"/>
        </w:rPr>
      </w:pPr>
      <w:r>
        <w:rPr>
          <w:rFonts w:hint="eastAsia" w:hAnsi="宋体" w:eastAsia="宋体" w:cs="宋体"/>
          <w:sz w:val="30"/>
          <w:szCs w:val="30"/>
        </w:rPr>
        <w:t>项目名称：《贺州市中心城区地下空间专项规划（2021—2035年）》</w:t>
      </w:r>
    </w:p>
    <w:p>
      <w:pPr>
        <w:pStyle w:val="4"/>
        <w:spacing w:line="560" w:lineRule="exact"/>
        <w:ind w:firstLine="600" w:firstLineChars="200"/>
        <w:rPr>
          <w:rFonts w:hAnsi="宋体" w:eastAsia="宋体" w:cs="宋体"/>
          <w:sz w:val="30"/>
          <w:szCs w:val="30"/>
        </w:rPr>
      </w:pPr>
      <w:r>
        <w:rPr>
          <w:rFonts w:hint="eastAsia" w:hAnsi="宋体" w:eastAsia="宋体" w:cs="宋体"/>
          <w:sz w:val="30"/>
          <w:szCs w:val="30"/>
        </w:rPr>
        <w:t xml:space="preserve">主管部门：贺州市自然资源局                  </w:t>
      </w:r>
    </w:p>
    <w:p>
      <w:pPr>
        <w:pStyle w:val="4"/>
        <w:spacing w:line="560" w:lineRule="exact"/>
        <w:ind w:firstLine="600" w:firstLineChars="200"/>
        <w:rPr>
          <w:rFonts w:hAnsi="宋体" w:eastAsia="宋体" w:cs="宋体"/>
          <w:sz w:val="30"/>
          <w:szCs w:val="30"/>
        </w:rPr>
      </w:pPr>
      <w:r>
        <w:rPr>
          <w:rFonts w:hint="eastAsia" w:hAnsi="宋体" w:eastAsia="宋体" w:cs="宋体"/>
          <w:sz w:val="30"/>
          <w:szCs w:val="30"/>
        </w:rPr>
        <w:t xml:space="preserve">实施单位：贺州市自然资源局                    </w:t>
      </w:r>
    </w:p>
    <w:p>
      <w:pPr>
        <w:pStyle w:val="4"/>
        <w:spacing w:line="560" w:lineRule="exact"/>
        <w:ind w:firstLine="600" w:firstLineChars="200"/>
        <w:rPr>
          <w:rFonts w:hAnsi="宋体" w:eastAsia="宋体" w:cs="宋体"/>
          <w:sz w:val="30"/>
          <w:szCs w:val="30"/>
        </w:rPr>
      </w:pPr>
      <w:r>
        <w:rPr>
          <w:rFonts w:hint="eastAsia" w:hAnsi="宋体" w:eastAsia="宋体" w:cs="宋体"/>
          <w:sz w:val="30"/>
          <w:szCs w:val="30"/>
        </w:rPr>
        <w:t>评价类型：事前评价□    事中评价□    事后评价☑</w:t>
      </w:r>
    </w:p>
    <w:p>
      <w:pPr>
        <w:pStyle w:val="4"/>
        <w:spacing w:line="560" w:lineRule="exact"/>
        <w:ind w:firstLine="600" w:firstLineChars="200"/>
        <w:rPr>
          <w:rFonts w:hAnsi="宋体" w:eastAsia="宋体" w:cs="宋体"/>
          <w:sz w:val="30"/>
          <w:szCs w:val="30"/>
        </w:rPr>
      </w:pPr>
      <w:r>
        <w:rPr>
          <w:rFonts w:hint="eastAsia" w:hAnsi="宋体" w:eastAsia="宋体" w:cs="宋体"/>
          <w:sz w:val="30"/>
          <w:szCs w:val="30"/>
        </w:rPr>
        <w:t>组织方式：部门（单位）绩效自评</w:t>
      </w:r>
    </w:p>
    <w:p>
      <w:pPr>
        <w:pStyle w:val="4"/>
        <w:spacing w:line="560" w:lineRule="exact"/>
        <w:ind w:firstLine="600" w:firstLineChars="200"/>
        <w:rPr>
          <w:rFonts w:hAnsi="宋体" w:eastAsia="宋体" w:cs="宋体"/>
          <w:sz w:val="30"/>
          <w:szCs w:val="30"/>
        </w:rPr>
      </w:pPr>
      <w:r>
        <w:rPr>
          <w:rFonts w:hint="eastAsia" w:hAnsi="宋体" w:eastAsia="宋体" w:cs="宋体"/>
          <w:sz w:val="30"/>
          <w:szCs w:val="30"/>
        </w:rPr>
        <w:t xml:space="preserve">评价机构：项目单位评价组☑    中介机构□    专家组□   </w:t>
      </w:r>
    </w:p>
    <w:p>
      <w:pPr>
        <w:pStyle w:val="4"/>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spacing w:line="560" w:lineRule="exact"/>
        <w:rPr>
          <w:rFonts w:ascii="仿宋_GB2312" w:hAnsi="仿宋_GB2312" w:eastAsia="仿宋_GB2312" w:cs="仿宋_GB2312"/>
          <w:sz w:val="32"/>
          <w:szCs w:val="32"/>
        </w:rPr>
      </w:pPr>
    </w:p>
    <w:p>
      <w:pPr>
        <w:pStyle w:val="4"/>
        <w:spacing w:line="560" w:lineRule="exact"/>
        <w:jc w:val="center"/>
        <w:rPr>
          <w:rFonts w:hAnsi="宋体" w:eastAsia="宋体" w:cs="宋体"/>
          <w:sz w:val="32"/>
          <w:szCs w:val="32"/>
        </w:rPr>
      </w:pPr>
      <w:r>
        <w:rPr>
          <w:rFonts w:hint="eastAsia" w:hAnsi="宋体" w:eastAsia="宋体" w:cs="宋体"/>
          <w:sz w:val="32"/>
          <w:szCs w:val="32"/>
        </w:rPr>
        <w:t>贺州市自然资源局</w:t>
      </w:r>
    </w:p>
    <w:p>
      <w:pPr>
        <w:pStyle w:val="4"/>
        <w:spacing w:line="560" w:lineRule="exact"/>
        <w:jc w:val="center"/>
        <w:rPr>
          <w:rFonts w:hAnsi="宋体" w:eastAsia="宋体" w:cs="宋体"/>
          <w:sz w:val="32"/>
          <w:szCs w:val="32"/>
        </w:rPr>
      </w:pPr>
      <w:r>
        <w:rPr>
          <w:rFonts w:hint="eastAsia" w:hAnsi="宋体" w:eastAsia="宋体" w:cs="宋体"/>
          <w:sz w:val="32"/>
          <w:szCs w:val="32"/>
        </w:rPr>
        <w:t>2023年3月</w:t>
      </w:r>
      <w:r>
        <w:rPr>
          <w:rFonts w:hint="eastAsia" w:hAnsi="宋体" w:eastAsia="宋体" w:cs="宋体"/>
          <w:sz w:val="32"/>
          <w:szCs w:val="32"/>
          <w:lang w:val="en-US" w:eastAsia="zh-CN"/>
        </w:rPr>
        <w:t>10</w:t>
      </w:r>
      <w:r>
        <w:rPr>
          <w:rFonts w:hint="eastAsia" w:hAnsi="宋体" w:eastAsia="宋体" w:cs="宋体"/>
          <w:sz w:val="32"/>
          <w:szCs w:val="32"/>
        </w:rPr>
        <w:t>日</w:t>
      </w:r>
    </w:p>
    <w:p>
      <w:pPr>
        <w:pStyle w:val="4"/>
        <w:spacing w:line="560" w:lineRule="exact"/>
        <w:jc w:val="center"/>
        <w:rPr>
          <w:rFonts w:ascii="仿宋_GB2312" w:hAnsi="仿宋_GB2312" w:eastAsia="仿宋_GB2312" w:cs="仿宋_GB2312"/>
          <w:sz w:val="32"/>
          <w:szCs w:val="32"/>
        </w:rPr>
      </w:pPr>
    </w:p>
    <w:p>
      <w:pPr>
        <w:pStyle w:val="4"/>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项目支出绩效自评基础信息表</w:t>
      </w:r>
    </w:p>
    <w:p>
      <w:pPr>
        <w:pStyle w:val="4"/>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10"/>
        <w:tblW w:w="10920" w:type="dxa"/>
        <w:jc w:val="center"/>
        <w:tblInd w:w="0" w:type="dxa"/>
        <w:tblLayout w:type="fixed"/>
        <w:tblCellMar>
          <w:top w:w="0" w:type="dxa"/>
          <w:left w:w="108" w:type="dxa"/>
          <w:bottom w:w="0" w:type="dxa"/>
          <w:right w:w="108" w:type="dxa"/>
        </w:tblCellMar>
      </w:tblPr>
      <w:tblGrid>
        <w:gridCol w:w="314"/>
        <w:gridCol w:w="359"/>
        <w:gridCol w:w="510"/>
        <w:gridCol w:w="30"/>
        <w:gridCol w:w="615"/>
        <w:gridCol w:w="420"/>
        <w:gridCol w:w="578"/>
        <w:gridCol w:w="17"/>
        <w:gridCol w:w="368"/>
        <w:gridCol w:w="152"/>
        <w:gridCol w:w="310"/>
        <w:gridCol w:w="360"/>
        <w:gridCol w:w="141"/>
        <w:gridCol w:w="265"/>
        <w:gridCol w:w="698"/>
        <w:gridCol w:w="73"/>
        <w:gridCol w:w="303"/>
        <w:gridCol w:w="6"/>
        <w:gridCol w:w="533"/>
        <w:gridCol w:w="48"/>
        <w:gridCol w:w="379"/>
        <w:gridCol w:w="269"/>
        <w:gridCol w:w="315"/>
        <w:gridCol w:w="602"/>
        <w:gridCol w:w="361"/>
        <w:gridCol w:w="268"/>
        <w:gridCol w:w="446"/>
        <w:gridCol w:w="249"/>
        <w:gridCol w:w="115"/>
        <w:gridCol w:w="174"/>
        <w:gridCol w:w="674"/>
        <w:gridCol w:w="942"/>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ascii="Times New Roman" w:hAnsi="Times New Roman" w:eastAsia="黑体" w:cs="Times New Roman"/>
                <w:szCs w:val="21"/>
              </w:rPr>
              <w:t>1-1</w:t>
            </w:r>
            <w:r>
              <w:rPr>
                <w:rFonts w:hint="eastAsia" w:ascii="黑体" w:hAnsi="黑体" w:eastAsia="黑体" w:cs="黑体"/>
                <w:szCs w:val="21"/>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3" w:type="dxa"/>
            <w:gridSpan w:val="3"/>
            <w:tcBorders>
              <w:top w:val="nil"/>
              <w:left w:val="single" w:color="auto" w:sz="8" w:space="0"/>
              <w:bottom w:val="nil"/>
              <w:right w:val="single" w:color="000000" w:sz="8"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项目名称</w:t>
            </w:r>
          </w:p>
        </w:tc>
        <w:tc>
          <w:tcPr>
            <w:tcW w:w="9711" w:type="dxa"/>
            <w:gridSpan w:val="29"/>
            <w:tcBorders>
              <w:top w:val="nil"/>
              <w:left w:val="nil"/>
              <w:bottom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《贺州市中心城区地下空间专项规划（2021—2035年）》</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w:t>
            </w:r>
          </w:p>
          <w:p>
            <w:pPr>
              <w:jc w:val="center"/>
              <w:rPr>
                <w:rFonts w:ascii="宋体" w:hAnsi="宋体" w:eastAsia="宋体" w:cs="宋体"/>
                <w:sz w:val="18"/>
                <w:szCs w:val="18"/>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刘显杯</w:t>
            </w:r>
          </w:p>
        </w:tc>
        <w:tc>
          <w:tcPr>
            <w:tcW w:w="960"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联系电话</w:t>
            </w:r>
          </w:p>
        </w:tc>
        <w:tc>
          <w:tcPr>
            <w:tcW w:w="4415" w:type="dxa"/>
            <w:gridSpan w:val="11"/>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cyan"/>
              </w:rPr>
            </w:pPr>
            <w:r>
              <w:rPr>
                <w:rFonts w:hint="eastAsia" w:ascii="宋体" w:hAnsi="宋体" w:eastAsia="宋体" w:cs="宋体"/>
                <w:sz w:val="18"/>
                <w:szCs w:val="18"/>
              </w:rPr>
              <w:t>18378401058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项目资金</w:t>
            </w:r>
          </w:p>
          <w:p>
            <w:pPr>
              <w:jc w:val="center"/>
              <w:rPr>
                <w:rFonts w:ascii="宋体" w:hAnsi="宋体" w:eastAsia="宋体" w:cs="宋体"/>
                <w:sz w:val="18"/>
                <w:szCs w:val="18"/>
              </w:rPr>
            </w:pPr>
            <w:r>
              <w:rPr>
                <w:rFonts w:hint="eastAsia" w:ascii="宋体" w:hAnsi="宋体" w:eastAsia="宋体" w:cs="宋体"/>
                <w:sz w:val="18"/>
                <w:szCs w:val="18"/>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贺政函〔2022〕1号</w:t>
            </w:r>
          </w:p>
        </w:tc>
        <w:tc>
          <w:tcPr>
            <w:tcW w:w="960"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资金项目</w:t>
            </w:r>
          </w:p>
          <w:p>
            <w:pPr>
              <w:jc w:val="center"/>
              <w:rPr>
                <w:rFonts w:ascii="宋体" w:hAnsi="宋体" w:eastAsia="宋体" w:cs="宋体"/>
                <w:sz w:val="18"/>
                <w:szCs w:val="18"/>
              </w:rPr>
            </w:pPr>
            <w:r>
              <w:rPr>
                <w:rFonts w:hint="eastAsia" w:ascii="宋体" w:hAnsi="宋体" w:eastAsia="宋体" w:cs="宋体"/>
                <w:sz w:val="18"/>
                <w:szCs w:val="18"/>
              </w:rPr>
              <w:t>安排年度</w:t>
            </w:r>
          </w:p>
        </w:tc>
        <w:tc>
          <w:tcPr>
            <w:tcW w:w="4415" w:type="dxa"/>
            <w:gridSpan w:val="11"/>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cyan"/>
              </w:rPr>
            </w:pPr>
            <w:r>
              <w:rPr>
                <w:rFonts w:hint="eastAsia" w:ascii="宋体" w:hAnsi="宋体" w:eastAsia="宋体" w:cs="宋体"/>
                <w:sz w:val="18"/>
                <w:szCs w:val="18"/>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项目类型</w:t>
            </w:r>
          </w:p>
        </w:tc>
        <w:tc>
          <w:tcPr>
            <w:tcW w:w="4336" w:type="dxa"/>
            <w:gridSpan w:val="15"/>
            <w:vMerge w:val="restart"/>
            <w:tcBorders>
              <w:top w:val="single" w:color="auto" w:sz="4" w:space="0"/>
              <w:left w:val="nil"/>
              <w:right w:val="single" w:color="auto" w:sz="4" w:space="0"/>
            </w:tcBorders>
            <w:vAlign w:val="center"/>
          </w:tcPr>
          <w:p>
            <w:pPr>
              <w:spacing w:line="360" w:lineRule="auto"/>
              <w:rPr>
                <w:rFonts w:ascii="宋体" w:hAnsi="宋体" w:eastAsia="宋体" w:cs="宋体"/>
                <w:sz w:val="18"/>
                <w:szCs w:val="18"/>
              </w:rPr>
            </w:pPr>
            <w:r>
              <w:rPr>
                <w:rFonts w:hint="eastAsia" w:ascii="宋体" w:hAnsi="宋体" w:eastAsia="宋体" w:cs="宋体"/>
                <w:sz w:val="18"/>
                <w:szCs w:val="18"/>
              </w:rPr>
              <w:t>1.基本建设类</w:t>
            </w:r>
            <w:r>
              <w:rPr>
                <w:rFonts w:hint="eastAsia" w:ascii="宋体" w:hAnsi="宋体" w:eastAsia="宋体" w:cs="宋体"/>
                <w:kern w:val="0"/>
                <w:sz w:val="18"/>
                <w:szCs w:val="18"/>
              </w:rPr>
              <w:t>□ 其中：新建□ 扩建□ 改建□</w:t>
            </w:r>
          </w:p>
          <w:p>
            <w:pPr>
              <w:spacing w:line="360" w:lineRule="auto"/>
              <w:rPr>
                <w:rFonts w:ascii="宋体" w:hAnsi="宋体" w:eastAsia="宋体" w:cs="宋体"/>
                <w:sz w:val="18"/>
                <w:szCs w:val="18"/>
              </w:rPr>
            </w:pPr>
            <w:r>
              <w:rPr>
                <w:rFonts w:hint="eastAsia" w:ascii="宋体" w:hAnsi="宋体" w:eastAsia="宋体" w:cs="宋体"/>
                <w:sz w:val="18"/>
                <w:szCs w:val="18"/>
              </w:rPr>
              <w:t>2.行政事业类□ 其中：采购□ 修缮□ 奖励/补贴□</w:t>
            </w:r>
          </w:p>
          <w:p>
            <w:pPr>
              <w:spacing w:line="360" w:lineRule="auto"/>
              <w:rPr>
                <w:rFonts w:ascii="宋体" w:hAnsi="宋体" w:eastAsia="宋体" w:cs="宋体"/>
                <w:sz w:val="18"/>
                <w:szCs w:val="18"/>
              </w:rPr>
            </w:pPr>
            <w:r>
              <w:rPr>
                <w:rFonts w:hint="eastAsia" w:ascii="宋体" w:hAnsi="宋体" w:eastAsia="宋体" w:cs="宋体"/>
                <w:sz w:val="18"/>
                <w:szCs w:val="18"/>
              </w:rPr>
              <w:t>3.其他项目类☑</w:t>
            </w:r>
          </w:p>
        </w:tc>
        <w:tc>
          <w:tcPr>
            <w:tcW w:w="960" w:type="dxa"/>
            <w:gridSpan w:val="3"/>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项目开</w:t>
            </w:r>
          </w:p>
          <w:p>
            <w:pPr>
              <w:jc w:val="center"/>
              <w:rPr>
                <w:rFonts w:ascii="宋体" w:hAnsi="宋体" w:eastAsia="宋体" w:cs="宋体"/>
                <w:sz w:val="18"/>
                <w:szCs w:val="18"/>
              </w:rPr>
            </w:pPr>
            <w:r>
              <w:rPr>
                <w:rFonts w:hint="eastAsia" w:ascii="宋体" w:hAnsi="宋体" w:eastAsia="宋体" w:cs="宋体"/>
                <w:sz w:val="18"/>
                <w:szCs w:val="18"/>
              </w:rPr>
              <w:t>始时间</w:t>
            </w:r>
          </w:p>
        </w:tc>
        <w:tc>
          <w:tcPr>
            <w:tcW w:w="1815"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计划：2021年12月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项目完成时间</w:t>
            </w:r>
          </w:p>
        </w:tc>
        <w:tc>
          <w:tcPr>
            <w:tcW w:w="179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计划：2023年12月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3"/>
            <w:vMerge w:val="continue"/>
            <w:tcBorders>
              <w:left w:val="nil"/>
              <w:bottom w:val="single" w:color="auto" w:sz="4" w:space="0"/>
              <w:right w:val="single" w:color="auto" w:sz="4" w:space="0"/>
            </w:tcBorders>
            <w:vAlign w:val="center"/>
          </w:tcPr>
          <w:p>
            <w:pPr>
              <w:jc w:val="center"/>
            </w:pPr>
          </w:p>
        </w:tc>
        <w:tc>
          <w:tcPr>
            <w:tcW w:w="1815"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179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资金项目</w:t>
            </w:r>
          </w:p>
          <w:p>
            <w:pPr>
              <w:jc w:val="center"/>
              <w:rPr>
                <w:rFonts w:ascii="宋体" w:hAnsi="宋体" w:eastAsia="宋体" w:cs="宋体"/>
                <w:sz w:val="18"/>
                <w:szCs w:val="18"/>
              </w:rPr>
            </w:pPr>
            <w:r>
              <w:rPr>
                <w:rFonts w:hint="eastAsia" w:ascii="宋体" w:hAnsi="宋体" w:eastAsia="宋体" w:cs="宋体"/>
                <w:sz w:val="18"/>
                <w:szCs w:val="18"/>
              </w:rPr>
              <w:t>安排年度</w:t>
            </w:r>
          </w:p>
          <w:p>
            <w:pPr>
              <w:jc w:val="center"/>
              <w:rPr>
                <w:rFonts w:ascii="宋体" w:hAnsi="宋体" w:eastAsia="宋体" w:cs="宋体"/>
                <w:sz w:val="18"/>
                <w:szCs w:val="18"/>
                <w:highlight w:val="cyan"/>
              </w:rPr>
            </w:pPr>
          </w:p>
          <w:p>
            <w:pPr>
              <w:rPr>
                <w:rFonts w:ascii="宋体" w:hAnsi="宋体" w:eastAsia="宋体" w:cs="宋体"/>
                <w:sz w:val="18"/>
                <w:szCs w:val="18"/>
              </w:rPr>
            </w:pPr>
            <w:r>
              <w:rPr>
                <w:rFonts w:hint="eastAsia" w:ascii="宋体" w:hAnsi="宋体" w:eastAsia="宋体" w:cs="宋体"/>
                <w:sz w:val="18"/>
                <w:szCs w:val="18"/>
              </w:rPr>
              <w:t xml:space="preserve"> 2.专家评审立项的项目□</w:t>
            </w:r>
          </w:p>
          <w:p>
            <w:r>
              <w:rPr>
                <w:rFonts w:hint="eastAsia" w:ascii="宋体" w:hAnsi="宋体" w:eastAsia="宋体" w:cs="宋体"/>
                <w:sz w:val="18"/>
                <w:szCs w:val="18"/>
              </w:rPr>
              <w:t>3.公开招标立项的项目□                               4.其他方式立项</w:t>
            </w:r>
          </w:p>
          <w:p>
            <w:pPr>
              <w:jc w:val="center"/>
              <w:rPr>
                <w:rFonts w:ascii="宋体" w:hAnsi="宋体" w:eastAsia="宋体" w:cs="宋体"/>
                <w:sz w:val="18"/>
                <w:szCs w:val="18"/>
              </w:rPr>
            </w:pPr>
            <w:r>
              <w:rPr>
                <w:rFonts w:hint="eastAsia" w:ascii="宋体" w:hAnsi="宋体" w:eastAsia="宋体" w:cs="宋体"/>
                <w:sz w:val="18"/>
                <w:szCs w:val="18"/>
              </w:rPr>
              <w:t>实际到位</w:t>
            </w:r>
          </w:p>
          <w:p>
            <w:pPr>
              <w:jc w:val="center"/>
              <w:rPr>
                <w:rFonts w:ascii="宋体" w:hAnsi="宋体" w:eastAsia="宋体" w:cs="宋体"/>
                <w:sz w:val="18"/>
                <w:szCs w:val="18"/>
              </w:rPr>
            </w:pPr>
            <w:r>
              <w:rPr>
                <w:rFonts w:hint="eastAsia" w:ascii="宋体" w:hAnsi="宋体" w:eastAsia="宋体" w:cs="宋体"/>
                <w:sz w:val="18"/>
                <w:szCs w:val="18"/>
              </w:rPr>
              <w:t>（到达项目单位）</w:t>
            </w:r>
          </w:p>
          <w:p>
            <w:pPr>
              <w:jc w:val="center"/>
              <w:rPr>
                <w:rFonts w:ascii="宋体" w:hAnsi="宋体" w:eastAsia="宋体" w:cs="宋体"/>
                <w:sz w:val="18"/>
                <w:szCs w:val="18"/>
              </w:rPr>
            </w:pPr>
            <w:r>
              <w:rPr>
                <w:rFonts w:hint="eastAsia" w:ascii="宋体" w:hAnsi="宋体" w:eastAsia="宋体" w:cs="宋体"/>
                <w:sz w:val="18"/>
                <w:szCs w:val="18"/>
              </w:rPr>
              <w:t>到位金额</w:t>
            </w:r>
          </w:p>
          <w:p>
            <w:pPr>
              <w:jc w:val="center"/>
              <w:rPr>
                <w:rFonts w:ascii="宋体" w:hAnsi="宋体" w:eastAsia="宋体" w:cs="宋体"/>
                <w:sz w:val="18"/>
                <w:szCs w:val="18"/>
              </w:rPr>
            </w:pPr>
            <w:r>
              <w:rPr>
                <w:rFonts w:hint="eastAsia" w:ascii="宋体" w:hAnsi="宋体" w:eastAsia="宋体" w:cs="宋体"/>
                <w:sz w:val="18"/>
                <w:szCs w:val="18"/>
              </w:rPr>
              <w:t>到位率（%）</w:t>
            </w:r>
          </w:p>
          <w:p>
            <w:pPr>
              <w:jc w:val="center"/>
              <w:rPr>
                <w:rFonts w:ascii="宋体" w:hAnsi="宋体" w:eastAsia="宋体" w:cs="宋体"/>
                <w:sz w:val="18"/>
                <w:szCs w:val="18"/>
              </w:rPr>
            </w:pPr>
            <w:r>
              <w:rPr>
                <w:rFonts w:hint="eastAsia" w:ascii="宋体" w:hAnsi="宋体" w:eastAsia="宋体" w:cs="宋体"/>
                <w:sz w:val="18"/>
                <w:szCs w:val="18"/>
              </w:rPr>
              <w:t>到位时间</w:t>
            </w:r>
          </w:p>
          <w:p>
            <w:pPr>
              <w:jc w:val="center"/>
              <w:rPr>
                <w:rFonts w:ascii="宋体" w:hAnsi="宋体" w:eastAsia="宋体" w:cs="宋体"/>
                <w:sz w:val="18"/>
                <w:szCs w:val="18"/>
              </w:rPr>
            </w:pPr>
            <w:r>
              <w:rPr>
                <w:rFonts w:hint="eastAsia" w:ascii="宋体" w:hAnsi="宋体" w:eastAsia="宋体" w:cs="宋体"/>
                <w:sz w:val="18"/>
                <w:szCs w:val="18"/>
              </w:rPr>
              <w:t>项目（用款）单位个数</w:t>
            </w:r>
          </w:p>
        </w:tc>
        <w:tc>
          <w:tcPr>
            <w:tcW w:w="9711" w:type="dxa"/>
            <w:gridSpan w:val="29"/>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合计：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ascii="Times New Roman" w:hAnsi="Times New Roman" w:eastAsia="黑体" w:cs="Times New Roman"/>
                <w:szCs w:val="21"/>
              </w:rPr>
              <w:t>1-2</w:t>
            </w:r>
            <w:r>
              <w:rPr>
                <w:rFonts w:hint="eastAsia" w:ascii="黑体" w:hAnsi="黑体" w:eastAsia="黑体" w:cs="黑体"/>
                <w:szCs w:val="21"/>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资金设立依据（文件）</w:t>
            </w:r>
          </w:p>
        </w:tc>
        <w:tc>
          <w:tcPr>
            <w:tcW w:w="9711" w:type="dxa"/>
            <w:gridSpan w:val="29"/>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6"/>
                <w:szCs w:val="16"/>
                <w:lang w:eastAsia="zh-CN"/>
              </w:rPr>
            </w:pPr>
            <w:r>
              <w:rPr>
                <w:rFonts w:hint="eastAsia" w:ascii="宋体" w:hAnsi="宋体" w:eastAsia="宋体" w:cs="宋体"/>
                <w:sz w:val="16"/>
                <w:szCs w:val="16"/>
                <w:lang w:eastAsia="zh-CN"/>
              </w:rPr>
              <w:t>《</w:t>
            </w:r>
            <w:r>
              <w:rPr>
                <w:rFonts w:hint="eastAsia" w:ascii="宋体" w:hAnsi="宋体" w:eastAsia="宋体" w:cs="宋体"/>
                <w:sz w:val="16"/>
                <w:szCs w:val="16"/>
              </w:rPr>
              <w:t>贺州市自然资源局贺州市发展和改革委员会关于印发贺州市国土空间专项规划编制目录（2021年第一批）的通知</w:t>
            </w:r>
            <w:r>
              <w:rPr>
                <w:rFonts w:hint="eastAsia" w:ascii="宋体" w:hAnsi="宋体" w:eastAsia="宋体" w:cs="宋体"/>
                <w:sz w:val="16"/>
                <w:szCs w:val="16"/>
                <w:lang w:eastAsia="zh-CN"/>
              </w:rPr>
              <w:t>》（贺自然资〔20</w:t>
            </w:r>
            <w:r>
              <w:rPr>
                <w:rFonts w:hint="eastAsia" w:ascii="宋体" w:hAnsi="宋体" w:eastAsia="宋体" w:cs="宋体"/>
                <w:sz w:val="16"/>
                <w:szCs w:val="16"/>
                <w:lang w:val="en-US" w:eastAsia="zh-CN"/>
              </w:rPr>
              <w:t>21</w:t>
            </w:r>
            <w:r>
              <w:rPr>
                <w:rFonts w:hint="eastAsia" w:ascii="宋体" w:hAnsi="宋体" w:eastAsia="宋体" w:cs="宋体"/>
                <w:sz w:val="16"/>
                <w:szCs w:val="16"/>
                <w:lang w:eastAsia="zh-CN"/>
              </w:rPr>
              <w:t>〕</w:t>
            </w:r>
            <w:r>
              <w:rPr>
                <w:rFonts w:hint="eastAsia" w:ascii="宋体" w:hAnsi="宋体" w:eastAsia="宋体" w:cs="宋体"/>
                <w:sz w:val="16"/>
                <w:szCs w:val="16"/>
                <w:lang w:val="en-US" w:eastAsia="zh-CN"/>
              </w:rPr>
              <w:t>99</w:t>
            </w:r>
            <w:r>
              <w:rPr>
                <w:rFonts w:hint="eastAsia" w:ascii="宋体" w:hAnsi="宋体" w:eastAsia="宋体" w:cs="宋体"/>
                <w:sz w:val="16"/>
                <w:szCs w:val="16"/>
                <w:lang w:eastAsia="zh-CN"/>
              </w:rPr>
              <w:t>号）《中共中央国务院关于建立国土空间规划体系并监督实施的若干意见》（中发〔2019〕18号）》《中共贺州市委办公室  贺州市人民政府办公室关于印发《贺州市自然资源局职能配置、内设机构和人员编制规定》的通知》（办发〔2019〕41 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立项方式</w:t>
            </w:r>
          </w:p>
        </w:tc>
        <w:tc>
          <w:tcPr>
            <w:tcW w:w="9711" w:type="dxa"/>
            <w:gridSpan w:val="29"/>
            <w:tcBorders>
              <w:top w:val="single" w:color="auto" w:sz="4" w:space="0"/>
              <w:left w:val="nil"/>
              <w:bottom w:val="single" w:color="auto" w:sz="4" w:space="0"/>
              <w:right w:val="single" w:color="auto" w:sz="4" w:space="0"/>
            </w:tcBorders>
            <w:vAlign w:val="center"/>
          </w:tcPr>
          <w:p>
            <w:pPr>
              <w:spacing w:line="360" w:lineRule="auto"/>
              <w:rPr>
                <w:rFonts w:ascii="宋体" w:hAnsi="宋体" w:eastAsia="宋体" w:cs="宋体"/>
                <w:sz w:val="18"/>
                <w:szCs w:val="18"/>
              </w:rPr>
            </w:pPr>
            <w:r>
              <w:rPr>
                <w:rFonts w:hint="eastAsia" w:ascii="宋体" w:hAnsi="宋体" w:eastAsia="宋体" w:cs="宋体"/>
                <w:sz w:val="18"/>
                <w:szCs w:val="18"/>
              </w:rPr>
              <w:t>1.发改部门批准立项的项目部门审核立项的项目□         2.专家评审立项的项目□</w:t>
            </w:r>
          </w:p>
          <w:p>
            <w:pPr>
              <w:spacing w:line="360" w:lineRule="auto"/>
              <w:rPr>
                <w:rFonts w:ascii="宋体" w:hAnsi="宋体" w:eastAsia="宋体" w:cs="宋体"/>
                <w:sz w:val="18"/>
                <w:szCs w:val="18"/>
              </w:rPr>
            </w:pPr>
            <w:r>
              <w:rPr>
                <w:rFonts w:hint="eastAsia" w:ascii="宋体" w:hAnsi="宋体" w:eastAsia="宋体" w:cs="宋体"/>
                <w:sz w:val="18"/>
                <w:szCs w:val="18"/>
              </w:rPr>
              <w:t>3.公开招标立项的项目□                               4.其他方式立项的项目（注明具体方式）☑</w:t>
            </w:r>
            <w:r>
              <w:rPr>
                <w:rFonts w:hint="eastAsia" w:ascii="宋体" w:hAnsi="宋体" w:eastAsia="宋体" w:cs="宋体"/>
                <w:sz w:val="16"/>
                <w:szCs w:val="16"/>
                <w:highlight w:val="none"/>
                <w:u w:val="single"/>
                <w:lang w:eastAsia="zh-CN"/>
              </w:rPr>
              <w:t>文件要求</w:t>
            </w:r>
            <w:r>
              <w:rPr>
                <w:rFonts w:hint="eastAsia" w:ascii="宋体" w:hAnsi="宋体" w:eastAsia="宋体" w:cs="宋体"/>
                <w:sz w:val="18"/>
                <w:szCs w:val="18"/>
              </w:rPr>
              <w:t xml:space="preserve">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ascii="Times New Roman" w:hAnsi="Times New Roman" w:eastAsia="黑体" w:cs="Times New Roman"/>
                <w:szCs w:val="21"/>
              </w:rPr>
              <w:t>1-3</w:t>
            </w:r>
            <w:r>
              <w:rPr>
                <w:rFonts w:hint="eastAsia" w:ascii="黑体" w:hAnsi="黑体" w:eastAsia="黑体" w:cs="黑体"/>
                <w:szCs w:val="21"/>
              </w:rPr>
              <w:t>：实施过程情况（单位：万元）</w:t>
            </w:r>
          </w:p>
        </w:tc>
      </w:tr>
      <w:tr>
        <w:tblPrEx>
          <w:tblLayout w:type="fixed"/>
          <w:tblCellMar>
            <w:top w:w="0" w:type="dxa"/>
            <w:left w:w="108" w:type="dxa"/>
            <w:bottom w:w="0" w:type="dxa"/>
            <w:right w:w="108" w:type="dxa"/>
          </w:tblCellMar>
        </w:tblPrEx>
        <w:trPr>
          <w:trHeight w:val="397" w:hRule="atLeast"/>
          <w:jc w:val="center"/>
        </w:trPr>
        <w:tc>
          <w:tcPr>
            <w:tcW w:w="314" w:type="dxa"/>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资金管理</w:t>
            </w:r>
          </w:p>
        </w:tc>
        <w:tc>
          <w:tcPr>
            <w:tcW w:w="359" w:type="dxa"/>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以前资金情况</w:t>
            </w:r>
          </w:p>
        </w:tc>
        <w:tc>
          <w:tcPr>
            <w:tcW w:w="6746" w:type="dxa"/>
            <w:gridSpan w:val="20"/>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本次评价资金情况</w:t>
            </w:r>
          </w:p>
        </w:tc>
      </w:tr>
      <w:tr>
        <w:tblPrEx>
          <w:tblLayout w:type="fixed"/>
          <w:tblCellMar>
            <w:top w:w="0" w:type="dxa"/>
            <w:left w:w="108" w:type="dxa"/>
            <w:bottom w:w="0" w:type="dxa"/>
            <w:right w:w="108" w:type="dxa"/>
          </w:tblCellMar>
        </w:tblPrEx>
        <w:trPr>
          <w:trHeight w:val="567"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结余金额</w:t>
            </w:r>
          </w:p>
        </w:tc>
        <w:tc>
          <w:tcPr>
            <w:tcW w:w="963" w:type="dxa"/>
            <w:gridSpan w:val="2"/>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预算（计划）安排</w:t>
            </w:r>
          </w:p>
        </w:tc>
        <w:tc>
          <w:tcPr>
            <w:tcW w:w="2889" w:type="dxa"/>
            <w:gridSpan w:val="10"/>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实际到位</w:t>
            </w:r>
          </w:p>
          <w:p>
            <w:pPr>
              <w:jc w:val="center"/>
              <w:rPr>
                <w:rFonts w:ascii="宋体" w:hAnsi="宋体" w:eastAsia="宋体" w:cs="宋体"/>
                <w:sz w:val="18"/>
                <w:szCs w:val="18"/>
              </w:rPr>
            </w:pPr>
            <w:r>
              <w:rPr>
                <w:rFonts w:hint="eastAsia" w:ascii="宋体" w:hAnsi="宋体" w:eastAsia="宋体" w:cs="宋体"/>
                <w:sz w:val="18"/>
                <w:szCs w:val="18"/>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实际支出</w:t>
            </w:r>
          </w:p>
          <w:p>
            <w:pPr>
              <w:jc w:val="center"/>
              <w:rPr>
                <w:rFonts w:ascii="宋体" w:hAnsi="宋体" w:eastAsia="宋体" w:cs="宋体"/>
                <w:sz w:val="18"/>
                <w:szCs w:val="18"/>
              </w:rPr>
            </w:pPr>
            <w:r>
              <w:rPr>
                <w:rFonts w:hint="eastAsia" w:ascii="宋体" w:hAnsi="宋体" w:eastAsia="宋体" w:cs="宋体"/>
                <w:sz w:val="18"/>
                <w:szCs w:val="18"/>
              </w:rPr>
              <w:t>（项目单位支出）</w:t>
            </w:r>
          </w:p>
        </w:tc>
        <w:tc>
          <w:tcPr>
            <w:tcW w:w="968" w:type="dxa"/>
            <w:gridSpan w:val="2"/>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结余金额</w:t>
            </w:r>
          </w:p>
        </w:tc>
      </w:tr>
      <w:tr>
        <w:tblPrEx>
          <w:tblLayout w:type="fixed"/>
          <w:tblCellMar>
            <w:top w:w="0" w:type="dxa"/>
            <w:left w:w="108" w:type="dxa"/>
            <w:bottom w:w="0" w:type="dxa"/>
            <w:right w:w="108" w:type="dxa"/>
          </w:tblCellMar>
        </w:tblPrEx>
        <w:trPr>
          <w:trHeight w:val="567"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到位金额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到位率（%）</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支出率（%）</w:t>
            </w:r>
          </w:p>
        </w:tc>
        <w:tc>
          <w:tcPr>
            <w:tcW w:w="968" w:type="dxa"/>
            <w:gridSpan w:val="2"/>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99.6</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29.8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29.92%</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highlight w:val="none"/>
              </w:rPr>
              <w:t>2022.</w:t>
            </w:r>
            <w:r>
              <w:rPr>
                <w:rFonts w:ascii="宋体" w:hAnsi="宋体" w:eastAsia="宋体" w:cs="宋体"/>
                <w:sz w:val="18"/>
                <w:szCs w:val="18"/>
                <w:highlight w:val="none"/>
              </w:rPr>
              <w:t>12.28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29.8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29.92%</w:t>
            </w: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2"/>
                <w:sz w:val="18"/>
                <w:szCs w:val="18"/>
                <w:lang w:val="en-US" w:eastAsia="zh-CN" w:bidi="ar-SA"/>
              </w:rPr>
            </w:pPr>
            <w:r>
              <w:rPr>
                <w:rFonts w:hint="eastAsia" w:ascii="宋体" w:hAnsi="宋体" w:eastAsia="宋体" w:cs="宋体"/>
                <w:sz w:val="18"/>
                <w:szCs w:val="18"/>
              </w:rPr>
              <w:t>69.8</w:t>
            </w: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99.6</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29.8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29.92%</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highlight w:val="none"/>
              </w:rPr>
              <w:t>2022.</w:t>
            </w:r>
            <w:r>
              <w:rPr>
                <w:rFonts w:ascii="宋体" w:hAnsi="宋体" w:eastAsia="宋体" w:cs="宋体"/>
                <w:sz w:val="18"/>
                <w:szCs w:val="18"/>
                <w:highlight w:val="none"/>
              </w:rPr>
              <w:t>12.28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29.8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29.92%</w:t>
            </w: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69.8</w:t>
            </w: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rPr>
                <w:rFonts w:ascii="宋体" w:hAnsi="宋体" w:eastAsia="宋体" w:cs="宋体"/>
                <w:sz w:val="18"/>
                <w:szCs w:val="18"/>
              </w:rPr>
            </w:pPr>
            <w:r>
              <w:rPr>
                <w:rFonts w:hint="eastAsia" w:ascii="宋体" w:hAnsi="宋体" w:eastAsia="宋体" w:cs="宋体"/>
                <w:sz w:val="18"/>
                <w:szCs w:val="18"/>
              </w:rPr>
              <w:t>①银行贷款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rPr>
                <w:rFonts w:ascii="宋体" w:hAnsi="宋体" w:eastAsia="宋体" w:cs="宋体"/>
                <w:sz w:val="18"/>
                <w:szCs w:val="18"/>
              </w:rPr>
            </w:pPr>
            <w:r>
              <w:rPr>
                <w:rFonts w:hint="eastAsia" w:ascii="宋体" w:hAnsi="宋体" w:eastAsia="宋体" w:cs="宋体"/>
                <w:sz w:val="18"/>
                <w:szCs w:val="18"/>
              </w:rPr>
              <w:t>②单位自筹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rPr>
                <w:rFonts w:ascii="宋体" w:hAnsi="宋体" w:eastAsia="宋体" w:cs="宋体"/>
                <w:sz w:val="18"/>
                <w:szCs w:val="18"/>
              </w:rPr>
            </w:pPr>
            <w:r>
              <w:rPr>
                <w:rFonts w:hint="eastAsia" w:ascii="宋体" w:hAnsi="宋体" w:eastAsia="宋体" w:cs="宋体"/>
                <w:sz w:val="18"/>
                <w:szCs w:val="18"/>
              </w:rPr>
              <w:t>③其他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4"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资金管理</w:t>
            </w:r>
          </w:p>
        </w:tc>
        <w:tc>
          <w:tcPr>
            <w:tcW w:w="359"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资金实际支出明细内容</w:t>
            </w:r>
          </w:p>
          <w:p>
            <w:pPr>
              <w:jc w:val="center"/>
              <w:rPr>
                <w:rFonts w:ascii="宋体" w:hAnsi="宋体" w:eastAsia="宋体" w:cs="宋体"/>
                <w:sz w:val="18"/>
                <w:szCs w:val="18"/>
              </w:rPr>
            </w:pPr>
            <w:r>
              <w:rPr>
                <w:rFonts w:hint="eastAsia" w:ascii="宋体" w:hAnsi="宋体" w:eastAsia="宋体" w:cs="宋体"/>
                <w:sz w:val="18"/>
                <w:szCs w:val="18"/>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项目预算</w:t>
            </w:r>
          </w:p>
          <w:p>
            <w:pPr>
              <w:jc w:val="center"/>
              <w:rPr>
                <w:rFonts w:ascii="宋体" w:hAnsi="宋体" w:eastAsia="宋体" w:cs="宋体"/>
                <w:sz w:val="18"/>
                <w:szCs w:val="18"/>
              </w:rPr>
            </w:pPr>
            <w:r>
              <w:rPr>
                <w:rFonts w:hint="eastAsia" w:ascii="宋体" w:hAnsi="宋体" w:eastAsia="宋体" w:cs="宋体"/>
                <w:sz w:val="18"/>
                <w:szCs w:val="18"/>
              </w:rPr>
              <w:t>支出</w:t>
            </w: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项目实际</w:t>
            </w:r>
          </w:p>
          <w:p>
            <w:pPr>
              <w:jc w:val="center"/>
              <w:rPr>
                <w:rFonts w:ascii="宋体" w:hAnsi="宋体" w:eastAsia="宋体" w:cs="宋体"/>
                <w:sz w:val="18"/>
                <w:szCs w:val="18"/>
              </w:rPr>
            </w:pPr>
            <w:r>
              <w:rPr>
                <w:rFonts w:hint="eastAsia" w:ascii="宋体" w:hAnsi="宋体" w:eastAsia="宋体" w:cs="宋体"/>
                <w:sz w:val="18"/>
                <w:szCs w:val="18"/>
              </w:rPr>
              <w:t>支出</w:t>
            </w: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资金支出依据（相关的资金管理办法、</w:t>
            </w:r>
          </w:p>
          <w:p>
            <w:pPr>
              <w:jc w:val="center"/>
              <w:rPr>
                <w:rFonts w:ascii="宋体" w:hAnsi="宋体" w:eastAsia="宋体" w:cs="宋体"/>
                <w:sz w:val="18"/>
                <w:szCs w:val="18"/>
              </w:rPr>
            </w:pPr>
            <w:r>
              <w:rPr>
                <w:rFonts w:hint="eastAsia" w:ascii="宋体" w:hAnsi="宋体" w:eastAsia="宋体" w:cs="宋体"/>
                <w:sz w:val="18"/>
                <w:szCs w:val="18"/>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4"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项目管理</w:t>
            </w:r>
          </w:p>
        </w:tc>
        <w:tc>
          <w:tcPr>
            <w:tcW w:w="359"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ascii="Times New Roman" w:hAnsi="Times New Roman" w:eastAsia="宋体" w:cs="Times New Roman"/>
                <w:sz w:val="18"/>
                <w:szCs w:val="18"/>
              </w:rPr>
              <w:t>1</w:t>
            </w:r>
            <w:r>
              <w:rPr>
                <w:rFonts w:hint="eastAsia" w:ascii="宋体" w:hAnsi="宋体" w:eastAsia="宋体" w:cs="宋体"/>
                <w:sz w:val="18"/>
                <w:szCs w:val="18"/>
              </w:rPr>
              <w:t>.预算变动</w:t>
            </w:r>
          </w:p>
          <w:p>
            <w:pPr>
              <w:jc w:val="center"/>
              <w:rPr>
                <w:rFonts w:ascii="宋体" w:hAnsi="宋体" w:eastAsia="宋体" w:cs="宋体"/>
                <w:sz w:val="18"/>
                <w:szCs w:val="18"/>
              </w:rPr>
            </w:pPr>
            <w:r>
              <w:rPr>
                <w:rFonts w:hint="eastAsia" w:ascii="宋体" w:hAnsi="宋体" w:eastAsia="宋体" w:cs="宋体"/>
                <w:sz w:val="18"/>
                <w:szCs w:val="18"/>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ascii="Times New Roman" w:hAnsi="Times New Roman" w:eastAsia="宋体" w:cs="Times New Roman"/>
                <w:sz w:val="18"/>
                <w:szCs w:val="18"/>
              </w:rPr>
              <w:t>2</w:t>
            </w:r>
            <w:r>
              <w:rPr>
                <w:rFonts w:hint="eastAsia" w:ascii="宋体" w:hAnsi="宋体" w:eastAsia="宋体" w:cs="宋体"/>
                <w:sz w:val="18"/>
                <w:szCs w:val="18"/>
              </w:rPr>
              <w:t>.支出内容调整（包括设计变动而来的调整）</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ascii="Times New Roman" w:hAnsi="Times New Roman" w:eastAsia="宋体" w:cs="Times New Roman"/>
                <w:sz w:val="18"/>
                <w:szCs w:val="18"/>
              </w:rPr>
              <w:t>3</w:t>
            </w:r>
            <w:r>
              <w:rPr>
                <w:rFonts w:hint="eastAsia" w:ascii="宋体" w:hAnsi="宋体" w:eastAsia="宋体" w:cs="宋体"/>
                <w:sz w:val="18"/>
                <w:szCs w:val="18"/>
              </w:rPr>
              <w:t>.设计方案调整</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其中按要求办理报批手续的项目（用款）单位数量</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实际办理</w:t>
            </w:r>
          </w:p>
          <w:p>
            <w:pPr>
              <w:jc w:val="center"/>
              <w:rPr>
                <w:rFonts w:ascii="宋体" w:hAnsi="宋体" w:eastAsia="宋体" w:cs="宋体"/>
                <w:sz w:val="18"/>
                <w:szCs w:val="18"/>
              </w:rPr>
            </w:pPr>
            <w:r>
              <w:rPr>
                <w:rFonts w:hint="eastAsia" w:ascii="宋体" w:hAnsi="宋体" w:eastAsia="宋体" w:cs="宋体"/>
                <w:sz w:val="18"/>
                <w:szCs w:val="18"/>
              </w:rPr>
              <w:t>的项目数</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调整内容</w:t>
            </w:r>
          </w:p>
        </w:tc>
        <w:tc>
          <w:tcPr>
            <w:tcW w:w="8068" w:type="dxa"/>
            <w:gridSpan w:val="2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调整原因及</w:t>
            </w:r>
          </w:p>
          <w:p>
            <w:pPr>
              <w:jc w:val="left"/>
              <w:rPr>
                <w:rFonts w:ascii="宋体" w:hAnsi="宋体" w:eastAsia="宋体" w:cs="宋体"/>
                <w:sz w:val="18"/>
                <w:szCs w:val="18"/>
              </w:rPr>
            </w:pPr>
            <w:r>
              <w:rPr>
                <w:rFonts w:hint="eastAsia" w:ascii="宋体" w:hAnsi="宋体" w:eastAsia="宋体" w:cs="宋体"/>
                <w:sz w:val="18"/>
                <w:szCs w:val="18"/>
              </w:rPr>
              <w:t>批复文件</w:t>
            </w:r>
          </w:p>
        </w:tc>
        <w:tc>
          <w:tcPr>
            <w:tcW w:w="8068" w:type="dxa"/>
            <w:gridSpan w:val="2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未办理批复的</w:t>
            </w:r>
          </w:p>
          <w:p>
            <w:pPr>
              <w:jc w:val="left"/>
              <w:rPr>
                <w:rFonts w:ascii="宋体" w:hAnsi="宋体" w:eastAsia="宋体" w:cs="宋体"/>
                <w:sz w:val="18"/>
                <w:szCs w:val="18"/>
              </w:rPr>
            </w:pPr>
            <w:r>
              <w:rPr>
                <w:rFonts w:hint="eastAsia" w:ascii="宋体" w:hAnsi="宋体" w:eastAsia="宋体" w:cs="宋体"/>
                <w:sz w:val="18"/>
                <w:szCs w:val="18"/>
              </w:rPr>
              <w:t>项目及原因</w:t>
            </w:r>
          </w:p>
        </w:tc>
        <w:tc>
          <w:tcPr>
            <w:tcW w:w="8068" w:type="dxa"/>
            <w:gridSpan w:val="2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验收</w:t>
            </w:r>
          </w:p>
          <w:p>
            <w:pPr>
              <w:jc w:val="center"/>
              <w:rPr>
                <w:rFonts w:ascii="宋体" w:hAnsi="宋体" w:eastAsia="宋体" w:cs="宋体"/>
                <w:sz w:val="18"/>
                <w:szCs w:val="18"/>
              </w:rPr>
            </w:pPr>
            <w:r>
              <w:rPr>
                <w:rFonts w:hint="eastAsia" w:ascii="宋体" w:hAnsi="宋体" w:eastAsia="宋体" w:cs="宋体"/>
                <w:sz w:val="18"/>
                <w:szCs w:val="18"/>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验收</w:t>
            </w:r>
          </w:p>
          <w:p>
            <w:pPr>
              <w:jc w:val="center"/>
              <w:rPr>
                <w:rFonts w:ascii="宋体" w:hAnsi="宋体" w:eastAsia="宋体" w:cs="宋体"/>
                <w:sz w:val="18"/>
                <w:szCs w:val="18"/>
              </w:rPr>
            </w:pPr>
            <w:r>
              <w:rPr>
                <w:rFonts w:hint="eastAsia" w:ascii="宋体" w:hAnsi="宋体" w:eastAsia="宋体" w:cs="宋体"/>
                <w:sz w:val="18"/>
                <w:szCs w:val="18"/>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96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办理验收手续项目</w:t>
            </w:r>
          </w:p>
        </w:tc>
        <w:tc>
          <w:tcPr>
            <w:tcW w:w="1186" w:type="dxa"/>
            <w:gridSpan w:val="3"/>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c>
          <w:tcPr>
            <w:tcW w:w="10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4" w:type="dxa"/>
            <w:vMerge w:val="continue"/>
            <w:tcBorders>
              <w:left w:val="single" w:color="auto" w:sz="4" w:space="0"/>
              <w:bottom w:val="single" w:color="auto" w:sz="4" w:space="0"/>
              <w:right w:val="single" w:color="auto" w:sz="4" w:space="0"/>
            </w:tcBorders>
            <w:vAlign w:val="center"/>
          </w:tcPr>
          <w:p>
            <w:pPr>
              <w:jc w:val="left"/>
              <w:rPr>
                <w:rFonts w:ascii="黑体" w:hAnsi="黑体" w:eastAsia="黑体" w:cs="黑体"/>
                <w:szCs w:val="21"/>
              </w:rPr>
            </w:pPr>
          </w:p>
        </w:tc>
        <w:tc>
          <w:tcPr>
            <w:tcW w:w="359" w:type="dxa"/>
            <w:vMerge w:val="continue"/>
            <w:tcBorders>
              <w:left w:val="single" w:color="auto" w:sz="4" w:space="0"/>
              <w:bottom w:val="single" w:color="auto" w:sz="4" w:space="0"/>
              <w:right w:val="single" w:color="auto" w:sz="4" w:space="0"/>
            </w:tcBorders>
            <w:vAlign w:val="center"/>
          </w:tcPr>
          <w:p>
            <w:pPr>
              <w:jc w:val="left"/>
              <w:rPr>
                <w:rFonts w:ascii="黑体" w:hAnsi="黑体" w:eastAsia="黑体" w:cs="黑体"/>
                <w:szCs w:val="21"/>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ascii="黑体" w:hAnsi="黑体" w:eastAsia="黑体" w:cs="黑体"/>
                <w:szCs w:val="21"/>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项目已完成未</w:t>
            </w:r>
          </w:p>
          <w:p>
            <w:pPr>
              <w:jc w:val="center"/>
              <w:rPr>
                <w:rFonts w:ascii="黑体" w:hAnsi="黑体" w:eastAsia="黑体" w:cs="黑体"/>
                <w:szCs w:val="21"/>
              </w:rPr>
            </w:pPr>
            <w:r>
              <w:rPr>
                <w:rFonts w:hint="eastAsia" w:ascii="宋体" w:hAnsi="宋体" w:eastAsia="宋体" w:cs="宋体"/>
                <w:sz w:val="18"/>
                <w:szCs w:val="18"/>
              </w:rPr>
              <w:t>办理验收的说明</w:t>
            </w:r>
          </w:p>
        </w:tc>
        <w:tc>
          <w:tcPr>
            <w:tcW w:w="7531" w:type="dxa"/>
            <w:gridSpan w:val="22"/>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黑体"/>
                <w:szCs w:val="21"/>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黑体"/>
                <w:sz w:val="18"/>
                <w:szCs w:val="18"/>
              </w:rPr>
            </w:pPr>
            <w:r>
              <w:rPr>
                <w:rFonts w:ascii="Times New Roman" w:hAnsi="Times New Roman" w:eastAsia="黑体" w:cs="Times New Roman"/>
                <w:szCs w:val="21"/>
              </w:rPr>
              <w:t>1-4</w:t>
            </w:r>
            <w:r>
              <w:rPr>
                <w:rFonts w:hint="eastAsia" w:ascii="黑体" w:hAnsi="黑体" w:eastAsia="黑体" w:cs="黑体"/>
                <w:szCs w:val="21"/>
              </w:rPr>
              <w:t>：评价人员（最少</w:t>
            </w:r>
            <w:r>
              <w:rPr>
                <w:rFonts w:ascii="Times New Roman" w:hAnsi="Times New Roman" w:eastAsia="黑体" w:cs="Times New Roman"/>
                <w:szCs w:val="21"/>
              </w:rPr>
              <w:t>3</w:t>
            </w:r>
            <w:r>
              <w:rPr>
                <w:rFonts w:hint="eastAsia" w:ascii="黑体" w:hAnsi="黑体" w:eastAsia="黑体" w:cs="黑体"/>
                <w:szCs w:val="21"/>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姓名：刘显杯</w:t>
            </w:r>
          </w:p>
        </w:tc>
        <w:tc>
          <w:tcPr>
            <w:tcW w:w="8051" w:type="dxa"/>
            <w:gridSpan w:val="24"/>
            <w:tcBorders>
              <w:top w:val="single" w:color="auto" w:sz="4" w:space="0"/>
              <w:left w:val="nil"/>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单位和职务：贺州市自然资源局专项规划科负责人</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姓名：钟梦思</w:t>
            </w:r>
          </w:p>
        </w:tc>
        <w:tc>
          <w:tcPr>
            <w:tcW w:w="8051" w:type="dxa"/>
            <w:gridSpan w:val="24"/>
            <w:tcBorders>
              <w:top w:val="single" w:color="auto" w:sz="4" w:space="0"/>
              <w:left w:val="nil"/>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单位和职务：贺州市自然资源局专项规划科科员</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姓名：罗思思</w:t>
            </w:r>
          </w:p>
        </w:tc>
        <w:tc>
          <w:tcPr>
            <w:tcW w:w="8051" w:type="dxa"/>
            <w:gridSpan w:val="24"/>
            <w:tcBorders>
              <w:top w:val="single" w:color="auto" w:sz="4" w:space="0"/>
              <w:left w:val="nil"/>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单位和职务：贺州市自然资源局专项规划科科员</w:t>
            </w:r>
          </w:p>
        </w:tc>
      </w:tr>
    </w:tbl>
    <w:p>
      <w:pPr>
        <w:pStyle w:val="4"/>
        <w:spacing w:line="560" w:lineRule="exact"/>
        <w:ind w:firstLine="640" w:firstLineChars="200"/>
        <w:rPr>
          <w:rFonts w:ascii="黑体" w:hAnsi="黑体" w:eastAsia="黑体" w:cs="黑体"/>
          <w:sz w:val="32"/>
          <w:szCs w:val="32"/>
        </w:rPr>
      </w:pPr>
    </w:p>
    <w:p>
      <w:pPr>
        <w:pStyle w:val="4"/>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一、项目基本情况</w:t>
      </w:r>
    </w:p>
    <w:p>
      <w:pPr>
        <w:pStyle w:val="4"/>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1.立项背景依据</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合理开发利用城市地下空间，是优化城市空间结构和管理格局，增强地下空间之间以及地下空间与地面建设之间有机联系，促进地下空间与城市整体同步发展，缓解城市土地资源紧张的必要措施，对于推动城市由外延扩张式向内涵提升式转变，改善城市环境，建设宜居城市，提高城市综合承载能力具有重要意义。组织编制《贺州市地下空间专项规划（2021-2035年）》主要基于以下两个方面的考虑：</w:t>
      </w:r>
    </w:p>
    <w:p>
      <w:pPr>
        <w:pStyle w:val="4"/>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（1）统筹贺州市城市地下空间开发建设，补短板，优化功能布局，缓解贺州城市综合问题。</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近年来，除了地下停车场之外，贺州市陆续开展了一系列地下空间的建设，例如贺州市中心城区道路地下人防工程(一期)项目、东融广场地下空间项目，为周边提供了商业、文化、休闲等综合功能。随着贺州市城市人口和空间需求的增加，对城市服务设施的服务能力提出了更高要求，也对城市地下空间的开发提出了越来越多的需求。组织编制《贺州市中心城区地下空间专项规划（2021-2035年）》，可以对中心城区的地下空间开发进行统筹安排，在未来的城市开发建设中引导部分公共服务设施和市政公用设施在不影响使用的前提下入地、立体发展，依托大型交通枢纽和公共建筑适度发展地下商业、文化、体育等公共服务设施，发挥基础设施的公共服务效能、综合效益最大化的有效措施，有效提升城市环境形象，缓解贺州城市综合问题。</w:t>
      </w:r>
    </w:p>
    <w:p>
      <w:pPr>
        <w:pStyle w:val="4"/>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（2）响应国家对城市地下空间开发利用保护工作的总体要求，完善城市地上地下立体化开发保护的战略谋划。</w:t>
      </w:r>
    </w:p>
    <w:p>
      <w:pPr>
        <w:pStyle w:val="4"/>
        <w:spacing w:line="560" w:lineRule="exact"/>
        <w:ind w:firstLine="640" w:firstLineChars="200"/>
        <w:rPr>
          <w:rFonts w:ascii="仿宋_GB2312" w:hAnsi="仿宋" w:eastAsia="仿宋_GB2312" w:cs="Times New Roman"/>
          <w:sz w:val="32"/>
          <w:szCs w:val="32"/>
        </w:rPr>
      </w:pPr>
      <w:r>
        <w:rPr>
          <w:rFonts w:hint="eastAsia" w:ascii="仿宋_GB2312" w:hAnsi="仿宋_GB2312" w:eastAsia="仿宋_GB2312" w:cs="仿宋_GB2312"/>
          <w:sz w:val="32"/>
          <w:szCs w:val="32"/>
        </w:rPr>
        <w:t>党中央、国务院高度重视地下空间开发利用保护工作。《中华人民共和国国民经济和社会发展第十四个五年规划和2035年远景目标纲要》《国家新型城镇化规划（2014—2020年）》《中共中央 国务院关于进一步加强城市规划建设管理工作的若干意见》《中共中央 国务院关于建立国土空间规划体系并监督实施的若干意见》等均提出统筹地上地下空间开发利用的总体要求。</w:t>
      </w:r>
      <w:r>
        <w:rPr>
          <w:rFonts w:hint="eastAsia" w:ascii="仿宋_GB2312" w:hAnsi="仿宋" w:eastAsia="仿宋_GB2312" w:cs="Times New Roman"/>
          <w:sz w:val="32"/>
          <w:szCs w:val="32"/>
        </w:rPr>
        <w:t>党的二十大报告指出“推进国家安全体系和能力现代化，坚决维护国家安全和社会稳定”。地下空间是国家安全体系的重要组成部分，一方面地下人防工程作为国防工程的一部分，承担着战时保护民众安全的重要使命；另一方面，地下空间使用安全是公共安全管理的重要组成部分，与人民群众日常生活息息相关。</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支撑地下空间开发利用，近年来相关部门制定了一批法律法规、技术标准和政策文件。《城乡规划法》提出，城市地下空间的开发和利用，应与经济和技术发展水平相适应，遵循统筹安排、综合开发、合理利用的原则，充分考虑防灾减灾、人民防空和通信等需要，并符合城市规划，履行规划审批手续，将地下空间规划纳入了城市规划范畴。2016年，住建部发布了《城市地下空间开发利用“十三五”规划》，提出“到2020年，不低于50%的城市完成地下空间开发利用规划编制和审批工作，补充完善城市重点地区控制性详细规划中涉及地下空间开发利用的内容。”“地方各级人民政府要切实加大投入力度，确保对城市地下空间规划制定、现状普查、综合管理信息系统建设等方面任务的资金投入。”</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组织编制《贺州市中心城区地下空间专项规划（2021-2035年）》充分响应了国家对城市地下空间开发利用保护工作的总体要求，可以有效指导中心城区地下空间与城市整体同步发展，优化贺州市城市空间格局。</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2.项目内容</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主要包括以下方面：</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（1）规划总则。包括项目背景、规划意义、规划目的、规划依据、规划范围、规划期限等。</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（2）基础研究。对贺州市中心城区的地下空间开发建设现状进行详细调查，包括地形条件、用地权属、现状建筑或构造物、配套设施、周边交通及市政设施等情况。</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资源评价及规模预测。根据基地地质条件、生态保护等条件进行综合分析，同时结合地上功能，确定重点片区地下空间开发潜力、功能需求、开发深度以及适宜的层数。预测中心城区各类地下空间建设的总量需求。</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地下空间功能布局、开发规模和强度。结合地上用地布局和城市设计所明确的空间结构，根据地上地下协调发展的原则，布局安排片区各地块地下空间的主导功能，确定地下公共活动空间及交通空间的结构。根据区域发展、片区规划的要求以及地下空间资源条件，明确地下空间开发规模和合理强度，确定地下空间涉及到的各类设施如地下停车、地下交通、地下公共服务等设施开发的总量。</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各类分项功能系统规划方案。结合城市设计，综合交通系统、地下公共服务设施、地下物流系统、地下商业、居住用地地下空间的开发控制、地下人防等各分项系统的布置方案，对地下各分项系统的平面布置、竖向布局等进行规划控制。同时与交通、市政、人防等专项的进一步对接，实现地下空间与各专项设施在平面及竖向上的合理布局。</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）地下空间规划控制和引导。根据地下空间功能系统和规划地块的功能性质，明确中心城区各个片区地下空间开发利用与建设的控制和引导要求，包括地下空间开发利用的范围、规模、深度、功能等。</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）规划实施保障措施。提出规划实施保障措施及相关政策建议。</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3.资金用途及目的</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用于支付编制《贺州市中心城区地下空间专项规划（2</w:t>
      </w:r>
      <w:r>
        <w:rPr>
          <w:rFonts w:ascii="仿宋_GB2312" w:hAnsi="仿宋_GB2312" w:eastAsia="仿宋_GB2312" w:cs="仿宋_GB2312"/>
          <w:sz w:val="32"/>
          <w:szCs w:val="32"/>
        </w:rPr>
        <w:t>021-2035</w:t>
      </w:r>
      <w:r>
        <w:rPr>
          <w:rFonts w:hint="eastAsia" w:ascii="仿宋_GB2312" w:hAnsi="仿宋_GB2312" w:eastAsia="仿宋_GB2312" w:cs="仿宋_GB2312"/>
          <w:sz w:val="32"/>
          <w:szCs w:val="32"/>
        </w:rPr>
        <w:t>年）》项目规划第一阶段编制费用，推进规划完成调研收资及初步成果编制工作。</w:t>
      </w:r>
    </w:p>
    <w:p>
      <w:pPr>
        <w:pStyle w:val="4"/>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1.项目资金（包括财政资金、自筹资金等）安排落实、总投入等情况分析。</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2</w:t>
      </w:r>
      <w:r>
        <w:rPr>
          <w:rFonts w:ascii="仿宋_GB2312" w:hAnsi="仿宋_GB2312" w:eastAsia="仿宋_GB2312" w:cs="仿宋_GB2312"/>
          <w:sz w:val="32"/>
          <w:szCs w:val="32"/>
          <w:highlight w:val="none"/>
        </w:rPr>
        <w:t>022</w:t>
      </w:r>
      <w:r>
        <w:rPr>
          <w:rFonts w:hint="eastAsia" w:ascii="仿宋_GB2312" w:hAnsi="仿宋_GB2312" w:eastAsia="仿宋_GB2312" w:cs="仿宋_GB2312"/>
          <w:sz w:val="32"/>
          <w:szCs w:val="32"/>
          <w:highlight w:val="none"/>
        </w:rPr>
        <w:t>年全年预算资金为9</w:t>
      </w:r>
      <w:r>
        <w:rPr>
          <w:rFonts w:ascii="仿宋_GB2312" w:hAnsi="仿宋_GB2312" w:eastAsia="仿宋_GB2312" w:cs="仿宋_GB2312"/>
          <w:sz w:val="32"/>
          <w:szCs w:val="32"/>
          <w:highlight w:val="none"/>
        </w:rPr>
        <w:t>9.60</w:t>
      </w:r>
      <w:r>
        <w:rPr>
          <w:rFonts w:hint="eastAsia" w:ascii="仿宋_GB2312" w:hAnsi="仿宋_GB2312" w:eastAsia="仿宋_GB2312" w:cs="仿宋_GB2312"/>
          <w:sz w:val="32"/>
          <w:szCs w:val="32"/>
          <w:highlight w:val="none"/>
        </w:rPr>
        <w:t>万元，均为财政资金，全年安排落实资金2</w:t>
      </w:r>
      <w:r>
        <w:rPr>
          <w:rFonts w:ascii="仿宋_GB2312" w:hAnsi="仿宋_GB2312" w:eastAsia="仿宋_GB2312" w:cs="仿宋_GB2312"/>
          <w:sz w:val="32"/>
          <w:szCs w:val="32"/>
          <w:highlight w:val="none"/>
        </w:rPr>
        <w:t>9.80</w:t>
      </w:r>
      <w:r>
        <w:rPr>
          <w:rFonts w:hint="eastAsia" w:ascii="仿宋_GB2312" w:hAnsi="仿宋_GB2312" w:eastAsia="仿宋_GB2312" w:cs="仿宋_GB2312"/>
          <w:sz w:val="32"/>
          <w:szCs w:val="32"/>
          <w:highlight w:val="none"/>
        </w:rPr>
        <w:t>万元，投入2</w:t>
      </w:r>
      <w:r>
        <w:rPr>
          <w:rFonts w:ascii="仿宋_GB2312" w:hAnsi="仿宋_GB2312" w:eastAsia="仿宋_GB2312" w:cs="仿宋_GB2312"/>
          <w:sz w:val="32"/>
          <w:szCs w:val="32"/>
          <w:highlight w:val="none"/>
        </w:rPr>
        <w:t>9.80</w:t>
      </w:r>
      <w:r>
        <w:rPr>
          <w:rFonts w:hint="eastAsia" w:ascii="仿宋_GB2312" w:hAnsi="仿宋_GB2312" w:eastAsia="仿宋_GB2312" w:cs="仿宋_GB2312"/>
          <w:sz w:val="32"/>
          <w:szCs w:val="32"/>
          <w:highlight w:val="none"/>
        </w:rPr>
        <w:t>万元。</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2</w:t>
      </w:r>
      <w:r>
        <w:rPr>
          <w:rFonts w:ascii="仿宋_GB2312" w:hAnsi="仿宋_GB2312" w:eastAsia="仿宋_GB2312" w:cs="仿宋_GB2312"/>
          <w:sz w:val="32"/>
          <w:szCs w:val="32"/>
          <w:highlight w:val="none"/>
        </w:rPr>
        <w:t>022</w:t>
      </w:r>
      <w:r>
        <w:rPr>
          <w:rFonts w:hint="eastAsia" w:ascii="仿宋_GB2312" w:hAnsi="仿宋_GB2312" w:eastAsia="仿宋_GB2312" w:cs="仿宋_GB2312"/>
          <w:sz w:val="32"/>
          <w:szCs w:val="32"/>
          <w:highlight w:val="none"/>
        </w:rPr>
        <w:t>年，项目实际支出资金</w:t>
      </w:r>
      <w:r>
        <w:rPr>
          <w:rFonts w:ascii="仿宋_GB2312" w:hAnsi="仿宋_GB2312" w:eastAsia="仿宋_GB2312" w:cs="仿宋_GB2312"/>
          <w:sz w:val="32"/>
          <w:szCs w:val="32"/>
          <w:highlight w:val="none"/>
        </w:rPr>
        <w:t>29.80</w:t>
      </w:r>
      <w:r>
        <w:rPr>
          <w:rFonts w:hint="eastAsia" w:ascii="仿宋_GB2312" w:hAnsi="仿宋_GB2312" w:eastAsia="仿宋_GB2312" w:cs="仿宋_GB2312"/>
          <w:sz w:val="32"/>
          <w:szCs w:val="32"/>
          <w:highlight w:val="none"/>
        </w:rPr>
        <w:t>万元，预算执行率为2</w:t>
      </w:r>
      <w:r>
        <w:rPr>
          <w:rFonts w:ascii="仿宋_GB2312" w:hAnsi="仿宋_GB2312" w:eastAsia="仿宋_GB2312" w:cs="仿宋_GB2312"/>
          <w:sz w:val="32"/>
          <w:szCs w:val="32"/>
          <w:highlight w:val="none"/>
        </w:rPr>
        <w:t>9.92</w:t>
      </w:r>
      <w:r>
        <w:rPr>
          <w:rFonts w:hint="eastAsia" w:ascii="仿宋_GB2312" w:hAnsi="仿宋_GB2312" w:eastAsia="仿宋_GB2312" w:cs="仿宋_GB2312"/>
          <w:sz w:val="32"/>
          <w:szCs w:val="32"/>
          <w:highlight w:val="none"/>
        </w:rPr>
        <w:t>%，按进度支付，剩余</w:t>
      </w:r>
      <w:r>
        <w:rPr>
          <w:rFonts w:ascii="仿宋_GB2312" w:hAnsi="仿宋_GB2312" w:eastAsia="仿宋_GB2312" w:cs="仿宋_GB2312"/>
          <w:sz w:val="32"/>
          <w:szCs w:val="32"/>
          <w:highlight w:val="none"/>
        </w:rPr>
        <w:t>69.80</w:t>
      </w:r>
      <w:r>
        <w:rPr>
          <w:rFonts w:hint="eastAsia" w:ascii="仿宋_GB2312" w:hAnsi="仿宋_GB2312" w:eastAsia="仿宋_GB2312" w:cs="仿宋_GB2312"/>
          <w:sz w:val="32"/>
          <w:szCs w:val="32"/>
          <w:highlight w:val="none"/>
        </w:rPr>
        <w:t>万元尚未支付。</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3.项目资金管理情况（包括管理制度、办法的制订及执行情况）分析。</w:t>
      </w:r>
    </w:p>
    <w:p>
      <w:pPr>
        <w:pStyle w:val="4"/>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贺州市自然资源局经费支出管理办法</w:t>
      </w:r>
      <w:r>
        <w:rPr>
          <w:rFonts w:hint="eastAsia" w:ascii="仿宋_GB2312" w:hAnsi="仿宋_GB2312" w:eastAsia="仿宋_GB2312" w:cs="仿宋_GB2312"/>
          <w:sz w:val="32"/>
          <w:szCs w:val="32"/>
          <w:lang w:eastAsia="zh-CN"/>
        </w:rPr>
        <w:t>》（贺自然资</w:t>
      </w:r>
      <w:r>
        <w:rPr>
          <w:rFonts w:hint="eastAsia" w:ascii="宋体" w:hAnsi="宋体" w:eastAsia="宋体" w:cs="宋体"/>
          <w:sz w:val="32"/>
          <w:szCs w:val="32"/>
          <w:lang w:eastAsia="zh-CN"/>
        </w:rPr>
        <w:t>〔</w:t>
      </w:r>
      <w:r>
        <w:rPr>
          <w:rFonts w:hint="eastAsia" w:hAnsi="宋体" w:eastAsia="宋体" w:cs="宋体"/>
          <w:sz w:val="32"/>
          <w:szCs w:val="32"/>
          <w:lang w:val="en-US" w:eastAsia="zh-CN"/>
        </w:rPr>
        <w:t>2021</w:t>
      </w:r>
      <w:r>
        <w:rPr>
          <w:rFonts w:hint="eastAsia" w:ascii="宋体" w:hAnsi="宋体" w:eastAsia="宋体" w:cs="宋体"/>
          <w:sz w:val="32"/>
          <w:szCs w:val="32"/>
          <w:lang w:eastAsia="zh-CN"/>
        </w:rPr>
        <w:t>〕</w:t>
      </w:r>
      <w:r>
        <w:rPr>
          <w:rFonts w:hint="eastAsia" w:hAnsi="宋体" w:eastAsia="宋体" w:cs="宋体"/>
          <w:sz w:val="32"/>
          <w:szCs w:val="32"/>
          <w:lang w:val="en-US" w:eastAsia="zh-CN"/>
        </w:rPr>
        <w:t>124号文件执行。</w:t>
      </w:r>
    </w:p>
    <w:p>
      <w:pPr>
        <w:pStyle w:val="4"/>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（三）项目组织管理情况</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1.项目组织情况</w:t>
      </w:r>
      <w:r>
        <w:rPr>
          <w:rStyle w:val="9"/>
          <w:rFonts w:asciiTheme="minorHAnsi" w:hAnsiTheme="minorHAnsi"/>
        </w:rPr>
        <w:commentReference w:id="0"/>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项目实施主体：项目组织编制单位为贺州市自然资源局，项目编制单位为华蓝设计（集团）有限公司。</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项目实施计划包括已开展工作和下一步工作计划。</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（1）已开展工作包括：</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①2021年11月，《贺州市中心城区地下空间专项规划（2021-2035年）》项目招标，华蓝设计（集团）有限公司中标。</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②2021年11月-2021年12月，编制组开展前期研究，组织第一次内部交流，确定项目目标及工作组织框架。</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③2022年1月-2022年4月，编制组组织第二次内部交流，确定成果框架，研讨项目重难点及规划思路。</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④2022年4月，编制组赴贺州就《贺州市中心城区地下空间专项规划（2021-2035年）》的规划初步设想和计划向贺州市自然资源局汇报交流，并在专项规划科相关领导带领下对中心城区主要地下空间项目进行访谈调研。</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⑤2022年5月-9月，编制组编制初步成果，9月组织内部评审，提出项目完善意见。</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⑥2022年9月-202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年1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月，编制组织结合内审意见修改完善，形成初步成果。</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（2）下阶段工作计划</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①202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月底编制组与贺州市自然资源局组织初步成果交流，并商定下阶段工作推进计划。</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②2023年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月底之前，初步成果征求部门意见。</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③2023年4月底之前，补充调研收资，衔接《贺州市国土空间总体规划（2021-2035年）》，结合部门意见和补充资料完善规划成果，完成中期成果内部审查。</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④2023年6月底之前，修改完善后的中期成果征求部门意见。</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⑤2023年9月底之前，组织专家评审。</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⑥2023年10月底之前，根据专家意见修改完善，项目公示。</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⑦2023年11月底之前，完成公示，根据公示意见修改，提交报批成果。</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⑧2023年12月底之前，项目批复后提交最终成果。</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2.项目管理情况（包括项目管理制度建设、日常检查监督管理、日常绩效运行监控开展等情况）。</w:t>
      </w:r>
    </w:p>
    <w:p>
      <w:pPr>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制定《贺州市中心城区地下空间专项规划（2021-2035年）》已开展工作及下阶段工作计划》以及贺州市自然资源局关于《贺州市中心城区地下空间专项规划（2021-2035年）》的编制工作方案。</w:t>
      </w:r>
    </w:p>
    <w:p>
      <w:pPr>
        <w:pStyle w:val="4"/>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二、项目绩效分析及评价结论</w:t>
      </w:r>
    </w:p>
    <w:p>
      <w:pPr>
        <w:pStyle w:val="4"/>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（一）项目产出完成情况分析。</w:t>
      </w:r>
      <w:r>
        <w:rPr>
          <w:rFonts w:hint="eastAsia" w:ascii="仿宋_GB2312" w:hAnsi="仿宋_GB2312" w:eastAsia="仿宋_GB2312" w:cs="仿宋_GB2312"/>
          <w:sz w:val="32"/>
          <w:szCs w:val="32"/>
        </w:rPr>
        <w:t>对照绩效产出指标逐项进行分析说明项目完成的数量、质量、时效等。</w:t>
      </w:r>
    </w:p>
    <w:p>
      <w:pPr>
        <w:pStyle w:val="4"/>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1.产出</w:t>
      </w:r>
      <w:r>
        <w:rPr>
          <w:rFonts w:hint="eastAsia" w:ascii="仿宋_GB2312" w:hAnsi="仿宋_GB2312" w:eastAsia="仿宋_GB2312" w:cs="仿宋_GB2312"/>
          <w:sz w:val="32"/>
          <w:szCs w:val="32"/>
        </w:rPr>
        <w:t>（满分5</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44</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项目产出指标包括数量、质量、时效、成本四个方面，满分5</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分，得1</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分，得分率3</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（1）数量指标（满分2</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考察项目编制工作的完成率，目前已完成前期收资调研及规划编制初步成果。</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（2）质量指标（满分1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考察项目是否通过专家评审，目前尚未开展专家评审工作。</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（3）时效指标（满分1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考察项目完成率，目前已完成前期收资调研及规划编制初步成果。</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（4）成本指标（满分1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分，得</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考察项目的成本控制是否超过项目总预算，目前按照项目完成进度支付第一阶段编制费用2</w:t>
      </w:r>
      <w:r>
        <w:rPr>
          <w:rFonts w:ascii="仿宋_GB2312" w:hAnsi="仿宋_GB2312" w:eastAsia="仿宋_GB2312" w:cs="仿宋_GB2312"/>
          <w:sz w:val="32"/>
          <w:szCs w:val="32"/>
        </w:rPr>
        <w:t>9.80</w:t>
      </w:r>
      <w:r>
        <w:rPr>
          <w:rFonts w:hint="eastAsia" w:ascii="仿宋_GB2312" w:hAnsi="仿宋_GB2312" w:eastAsia="仿宋_GB2312" w:cs="仿宋_GB2312"/>
          <w:sz w:val="32"/>
          <w:szCs w:val="32"/>
        </w:rPr>
        <w:t>万元，未超预算。</w:t>
      </w:r>
    </w:p>
    <w:p>
      <w:pPr>
        <w:pStyle w:val="4"/>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（二）项目效益情况分析。</w:t>
      </w:r>
      <w:r>
        <w:rPr>
          <w:rFonts w:hint="eastAsia" w:ascii="仿宋_GB2312" w:hAnsi="仿宋_GB2312" w:eastAsia="仿宋_GB2312" w:cs="仿宋_GB2312"/>
          <w:sz w:val="32"/>
          <w:szCs w:val="32"/>
        </w:rPr>
        <w:t>对照绩效效益指标逐项进行分析说明项目实施后，取得的经济效益、社会效益、生态效益等。</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项目效益指标包括经济效益、社会效益、生态效益、可持续影响四个方面，满分</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分，得</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分，得分率</w:t>
      </w:r>
      <w:r>
        <w:rPr>
          <w:rFonts w:ascii="仿宋_GB2312" w:hAnsi="仿宋_GB2312" w:eastAsia="仿宋_GB2312" w:cs="仿宋_GB2312"/>
          <w:sz w:val="32"/>
          <w:szCs w:val="32"/>
        </w:rPr>
        <w:t>36.67</w:t>
      </w:r>
      <w:r>
        <w:rPr>
          <w:rFonts w:hint="eastAsia" w:ascii="仿宋_GB2312" w:hAnsi="仿宋_GB2312" w:eastAsia="仿宋_GB2312" w:cs="仿宋_GB2312"/>
          <w:sz w:val="32"/>
          <w:szCs w:val="32"/>
        </w:rPr>
        <w:t>%。</w:t>
      </w:r>
    </w:p>
    <w:p>
      <w:pPr>
        <w:pStyle w:val="4"/>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1.经济效益</w:t>
      </w:r>
      <w:r>
        <w:rPr>
          <w:rFonts w:hint="eastAsia" w:ascii="仿宋_GB2312" w:hAnsi="仿宋_GB2312" w:eastAsia="仿宋_GB2312" w:cs="仿宋_GB2312"/>
          <w:sz w:val="32"/>
          <w:szCs w:val="32"/>
        </w:rPr>
        <w:t>（满分</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考察项目是否提出3项以上城区地下空间近期重点建设项目，项目初步成果文本“近期建设规划”章节及“图2</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近期建设规划图”中提出了近期地下空间重点建设项目，包括地下商业、地下公共停车场、地下综合管廊等项目，符合经济效益指标要求，目前为初步成果，待项目评审通过后可作为指导建设的依据。</w:t>
      </w:r>
    </w:p>
    <w:p>
      <w:pPr>
        <w:pStyle w:val="4"/>
        <w:spacing w:line="56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.社会效益</w:t>
      </w:r>
      <w:r>
        <w:rPr>
          <w:rFonts w:hint="eastAsia" w:ascii="仿宋_GB2312" w:hAnsi="仿宋_GB2312" w:eastAsia="仿宋_GB2312" w:cs="仿宋_GB2312"/>
          <w:sz w:val="32"/>
          <w:szCs w:val="32"/>
        </w:rPr>
        <w:t>（满分</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效益指标细分为考察项目是否提出1项提出能够缓解土地资源紧缺问题的地下空间开发利用措施；考察项目是否提出1项能够有效改善旧城区交通问题的地下交通建设措施；考察项目是否提出1项能够有效提升城市环境形象的设施入地措施。</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初步成果文本“地下公共服务设施规划”“地下市政设施规划”“地下交通设施规划”等章节提出了地下公共服务设施、地下市政设施、地下停车场等设施的规划布局，将部分地面空间的功能布局在地下，可以有效缓解土地资源紧缺的问题；成果中“地下交通设施规划”章节提出了地下步行交通、地下停车场等设施的规划布局，可有效改善旧城区交通问题；成果提出了部分市政设施入地的初步方案，将部分邻避设施布局在地下空间，可以有效改善城市环境形象。以上规划内容符合经济效益指标要求，目前为初步成果，待项目评审通过后可作为指导建设的依据。</w:t>
      </w:r>
    </w:p>
    <w:p>
      <w:pPr>
        <w:pStyle w:val="4"/>
        <w:spacing w:line="56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.生态效益</w:t>
      </w:r>
      <w:r>
        <w:rPr>
          <w:rFonts w:hint="eastAsia" w:ascii="仿宋_GB2312" w:hAnsi="仿宋_GB2312" w:eastAsia="仿宋_GB2312" w:cs="仿宋_GB2312"/>
          <w:sz w:val="32"/>
          <w:szCs w:val="32"/>
        </w:rPr>
        <w:t>（满分</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生态效益指标细分为考察项目是否提出通过地下空间规划有效改善生态环境的措施；考察项目提出优化地下空间开发建设，减少地下空间开发建设对生态环境负面影响的措施。</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初步成果文本中“生态保护与地下空间开发”章节将中心城区生态功能区块分为大型生态区块、绿色廊道以及公园绿地，对公园绿地提出控制性开发和适度开发地下空间的规划指引，以降低生态功能区块地面开发强度，改善生态环境；成果中“生态保护与地下空间开发”章节将中心城区生态功能区块分为大型生态区块、绿色廊道以及公园绿地，提出大型生态区块和绿色廊道空间的建设管控要求，减少地下空间开发对生态环境产生负面影响。以上规划内容符合生态效益指标要求，目前为初步成果，待项目评审通过后可作为指导建设的依据。</w:t>
      </w:r>
    </w:p>
    <w:p>
      <w:pPr>
        <w:pStyle w:val="4"/>
        <w:spacing w:line="56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.可持续影响</w:t>
      </w:r>
      <w:r>
        <w:rPr>
          <w:rFonts w:hint="eastAsia" w:ascii="仿宋_GB2312" w:hAnsi="仿宋_GB2312" w:eastAsia="仿宋_GB2312" w:cs="仿宋_GB2312"/>
          <w:sz w:val="32"/>
          <w:szCs w:val="32"/>
        </w:rPr>
        <w:t>（满分</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考察项目是否为城区控规编制和建设项目的地下空间开发提供规划支撑。项目初步成果文本 “地块开发设计指引”章节对中心城区八步老城片区、东融新城片区等十二个片区的地下空间开发建设提出了规划指引，为下阶段的详细规划和项目建设提供了规划支撑，符合可持续影响指标要求，目前为初步成果，待项目评审通过后可作为指导建设的依据。</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（三）项目满意度指标分析</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项目满意度指标主要考察项目的满意度是否不低于9</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%。项目未编制完成，尚未进行满意度调查等相关工作。待项目通过专家评审后将进行规划公示，征求市民意见。</w:t>
      </w:r>
    </w:p>
    <w:p>
      <w:pPr>
        <w:pStyle w:val="4"/>
        <w:spacing w:line="560" w:lineRule="exact"/>
        <w:ind w:firstLine="643" w:firstLineChars="200"/>
        <w:rPr>
          <w:rFonts w:ascii="仿宋_GB2312" w:hAnsi="仿宋_GB2312" w:eastAsia="仿宋_GB2312" w:cs="仿宋_GB2312"/>
          <w:strike/>
          <w:sz w:val="32"/>
          <w:szCs w:val="32"/>
        </w:rPr>
      </w:pPr>
      <w:r>
        <w:rPr>
          <w:rFonts w:hint="eastAsia" w:ascii="楷体_GB2312" w:hAnsi="楷体_GB2312" w:eastAsia="楷体_GB2312" w:cs="楷体_GB2312"/>
          <w:b/>
          <w:bCs/>
          <w:sz w:val="32"/>
          <w:szCs w:val="32"/>
        </w:rPr>
        <w:t>（三）项目可持续性分析。</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已完成初步成果编制，“地块开发设计指引”章节对中心城区八步老城片区、东融新城片区等十二个片区的地下空间开发建设提出了规划指引，为下阶段的详细规划和项目建设提供了规划支撑。项目编制过程中与在编的《贺州市国土空间总体规划（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2035</w:t>
      </w:r>
      <w:r>
        <w:rPr>
          <w:rFonts w:hint="eastAsia" w:ascii="仿宋_GB2312" w:hAnsi="仿宋_GB2312" w:eastAsia="仿宋_GB2312" w:cs="仿宋_GB2312"/>
          <w:sz w:val="32"/>
          <w:szCs w:val="32"/>
        </w:rPr>
        <w:t>年）》、各类专项规划及拟建项目保持衔接，可以持续为中心城区的地下空间建设项目提供规划意见，保障相应项目的用地需求，待项目评审通过后可作为指导建设的依据。</w:t>
      </w:r>
    </w:p>
    <w:p>
      <w:pPr>
        <w:pStyle w:val="4"/>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（四）项目绩效指标未完成原因分析。</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项目正在编制过程中，目前已完成初步成果编制。下阶段将按照相关规划编制程序，征求部门意见，并组织专家评审及规划公示，结合各方面意见和材料进一步完善形成规划成果。</w:t>
      </w:r>
    </w:p>
    <w:p>
      <w:pPr>
        <w:pStyle w:val="4"/>
        <w:spacing w:line="560" w:lineRule="exact"/>
        <w:ind w:firstLine="640" w:firstLineChars="200"/>
        <w:rPr>
          <w:rFonts w:ascii="仿宋_GB2312" w:hAnsi="仿宋_GB2312" w:eastAsia="仿宋_GB2312" w:cs="仿宋_GB2312"/>
          <w:sz w:val="32"/>
          <w:szCs w:val="32"/>
        </w:rPr>
      </w:pPr>
    </w:p>
    <w:p>
      <w:pPr>
        <w:pStyle w:val="4"/>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8</w:t>
      </w:r>
      <w:bookmarkStart w:id="0" w:name="_GoBack"/>
      <w:bookmarkEnd w:id="0"/>
      <w:r>
        <w:rPr>
          <w:rFonts w:ascii="仿宋_GB2312" w:hAnsi="仿宋_GB2312" w:eastAsia="仿宋_GB2312" w:cs="仿宋_GB2312"/>
          <w:sz w:val="32"/>
          <w:szCs w:val="32"/>
        </w:rPr>
        <w:t>3</w:t>
      </w:r>
      <w:r>
        <w:rPr>
          <w:rFonts w:hint="eastAsia" w:ascii="仿宋_GB2312" w:hAnsi="仿宋_GB2312" w:eastAsia="仿宋_GB2312" w:cs="仿宋_GB2312"/>
          <w:sz w:val="32"/>
          <w:szCs w:val="32"/>
        </w:rPr>
        <w:t>分</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评价等级：优</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总体结论：项目基本按照既定计划正常推进，下阶段需进一步征求各方面意见，以便于为贺州市未来中心城区地下空间的开发建设提供更具操作性和前瞻性的规划指引。</w:t>
      </w:r>
    </w:p>
    <w:p>
      <w:pPr>
        <w:pStyle w:val="4"/>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三、经验总结、存在问题及意见建议</w:t>
      </w:r>
    </w:p>
    <w:p>
      <w:pPr>
        <w:pStyle w:val="4"/>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rPr>
        <w:t>严格按照制定的内部控制管理规定及预算绩效管理制度执行。</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rPr>
        <w:t>严格按照《中华人民共和国预算法</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及贺州市财政局 2022 年本级部门预算通知的预算要求</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编制部门预算</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项目支出预算， 便于审核和评价的相应的项目支出绩效目标。</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按照本年度市财政局下达的2022年部门预算通知的预算要求按时完成预算执行进度。在预算执行中，对照年初预算批复的项目绩效指标严格组织实施各项目，资金严格按预算批准用途使用，并严格履行财政审批程序， 对项目款项拨付进行监督，专款专用。</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及时分析项目实施进程、资金拨付与绩效目标实现进度， 跟踪监控绩效目标运行情况。</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针对绩效评价发现项目实施存在的管理问题，及时调整措施，保证项目规范实施，提高项目实施的效率和效果。</w:t>
      </w:r>
    </w:p>
    <w:p>
      <w:pPr>
        <w:pStyle w:val="4"/>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下空间开发利用的成本较高，且具有不可逆的特性，故而地下空间的开发一般需要较高的经济基础，也需要掌握较为详细的地质情况。当前贺州的经济增速较快，但经济总量仍低于全区平均水平，且建市时间较短，地下空间开发相关的各类数据资料较少，规划编制的难度较大。目前《贺州市国土空间总体规划（2</w:t>
      </w:r>
      <w:r>
        <w:rPr>
          <w:rFonts w:ascii="仿宋_GB2312" w:hAnsi="仿宋_GB2312" w:eastAsia="仿宋_GB2312" w:cs="仿宋_GB2312"/>
          <w:sz w:val="32"/>
          <w:szCs w:val="32"/>
        </w:rPr>
        <w:t>021-2035</w:t>
      </w:r>
      <w:r>
        <w:rPr>
          <w:rFonts w:hint="eastAsia" w:ascii="仿宋_GB2312" w:hAnsi="仿宋_GB2312" w:eastAsia="仿宋_GB2312" w:cs="仿宋_GB2312"/>
          <w:sz w:val="32"/>
          <w:szCs w:val="32"/>
        </w:rPr>
        <w:t>年）》尚未批复，后期</w:t>
      </w:r>
      <w:r>
        <w:rPr>
          <w:rFonts w:ascii="仿宋_GB2312" w:hAnsi="仿宋_GB2312" w:eastAsia="仿宋_GB2312" w:cs="仿宋_GB2312"/>
          <w:sz w:val="32"/>
          <w:szCs w:val="32"/>
        </w:rPr>
        <w:t>因规划</w:t>
      </w:r>
      <w:r>
        <w:rPr>
          <w:rFonts w:hint="eastAsia" w:ascii="仿宋_GB2312" w:hAnsi="仿宋_GB2312" w:eastAsia="仿宋_GB2312" w:cs="仿宋_GB2312"/>
          <w:sz w:val="32"/>
          <w:szCs w:val="32"/>
        </w:rPr>
        <w:t>衔接、</w:t>
      </w:r>
      <w:r>
        <w:rPr>
          <w:rFonts w:ascii="仿宋_GB2312" w:hAnsi="仿宋_GB2312" w:eastAsia="仿宋_GB2312" w:cs="仿宋_GB2312"/>
          <w:sz w:val="32"/>
          <w:szCs w:val="32"/>
        </w:rPr>
        <w:t>调整</w:t>
      </w:r>
      <w:r>
        <w:rPr>
          <w:rFonts w:hint="eastAsia" w:ascii="仿宋_GB2312" w:hAnsi="仿宋_GB2312" w:eastAsia="仿宋_GB2312" w:cs="仿宋_GB2312"/>
          <w:sz w:val="32"/>
          <w:szCs w:val="32"/>
        </w:rPr>
        <w:t>引发的</w:t>
      </w:r>
      <w:r>
        <w:rPr>
          <w:rFonts w:ascii="仿宋_GB2312" w:hAnsi="仿宋_GB2312" w:eastAsia="仿宋_GB2312" w:cs="仿宋_GB2312"/>
          <w:sz w:val="32"/>
          <w:szCs w:val="32"/>
        </w:rPr>
        <w:t>修改工作存在不确定性，相关工作的开展可能会与预期不符。</w:t>
      </w:r>
    </w:p>
    <w:p>
      <w:pPr>
        <w:pStyle w:val="4"/>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p>
    <w:p>
      <w:pPr>
        <w:pStyle w:val="4"/>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为切实提高工作质量与工作效率， 未来我局将加强与上级部门的对接与协调，尽可能提高预算资金的实际使用效果。</w:t>
      </w:r>
    </w:p>
    <w:p>
      <w:pPr>
        <w:pStyle w:val="4"/>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四、其他需要说明的问题</w:t>
      </w:r>
    </w:p>
    <w:p>
      <w:pPr>
        <w:pStyle w:val="4"/>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（无）</w:t>
      </w:r>
    </w:p>
    <w:sectPr>
      <w:footerReference r:id="rId4" w:type="default"/>
      <w:pgSz w:w="12240" w:h="15840"/>
      <w:pgMar w:top="1440" w:right="1800" w:bottom="1440" w:left="1800" w:header="720" w:footer="720" w:gutter="0"/>
      <w:pgNumType w:fmt="numberInDash" w:start="7"/>
      <w:cols w:space="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ls" w:date="2023-03-10T11:01:00Z" w:initials="w">
    <w:p>
      <w:pPr>
        <w:pStyle w:val="3"/>
      </w:pPr>
      <w:r>
        <w:rPr>
          <w:rFonts w:hint="eastAsia"/>
        </w:rPr>
        <w:t>这部分正式报告是否删除？</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MT">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- 14 -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- 14 -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6B7"/>
    <w:rsid w:val="00037743"/>
    <w:rsid w:val="00044B55"/>
    <w:rsid w:val="000562E9"/>
    <w:rsid w:val="00056CE6"/>
    <w:rsid w:val="00094774"/>
    <w:rsid w:val="000F426E"/>
    <w:rsid w:val="00135D0D"/>
    <w:rsid w:val="00165AB5"/>
    <w:rsid w:val="001C7E07"/>
    <w:rsid w:val="002A6741"/>
    <w:rsid w:val="00341367"/>
    <w:rsid w:val="004B6F79"/>
    <w:rsid w:val="004D6DB6"/>
    <w:rsid w:val="004E46ED"/>
    <w:rsid w:val="005B346B"/>
    <w:rsid w:val="005E666C"/>
    <w:rsid w:val="00792213"/>
    <w:rsid w:val="007E36B7"/>
    <w:rsid w:val="0085174F"/>
    <w:rsid w:val="008F0522"/>
    <w:rsid w:val="00930DDB"/>
    <w:rsid w:val="00953A5D"/>
    <w:rsid w:val="00A06DF5"/>
    <w:rsid w:val="00A1329F"/>
    <w:rsid w:val="00A53723"/>
    <w:rsid w:val="00A60071"/>
    <w:rsid w:val="00AC4C37"/>
    <w:rsid w:val="00B214FB"/>
    <w:rsid w:val="00C62A9D"/>
    <w:rsid w:val="00D84893"/>
    <w:rsid w:val="00E21067"/>
    <w:rsid w:val="00E63D06"/>
    <w:rsid w:val="00EC703A"/>
    <w:rsid w:val="00EE62FC"/>
    <w:rsid w:val="00FF344D"/>
    <w:rsid w:val="09AC3A9C"/>
    <w:rsid w:val="09C21CCC"/>
    <w:rsid w:val="0A4B34BA"/>
    <w:rsid w:val="14D421C7"/>
    <w:rsid w:val="15485378"/>
    <w:rsid w:val="16F11180"/>
    <w:rsid w:val="18AF055F"/>
    <w:rsid w:val="1D024DFC"/>
    <w:rsid w:val="203F6352"/>
    <w:rsid w:val="20E07753"/>
    <w:rsid w:val="2424631C"/>
    <w:rsid w:val="28DD7535"/>
    <w:rsid w:val="2B1227DD"/>
    <w:rsid w:val="2D2C7B74"/>
    <w:rsid w:val="2D8D7C9C"/>
    <w:rsid w:val="2DC64C6A"/>
    <w:rsid w:val="2EBC29C4"/>
    <w:rsid w:val="31966FAB"/>
    <w:rsid w:val="31AE347F"/>
    <w:rsid w:val="32CD165C"/>
    <w:rsid w:val="34416B1F"/>
    <w:rsid w:val="3D2F0EAB"/>
    <w:rsid w:val="3E282D1B"/>
    <w:rsid w:val="3E4C4CEE"/>
    <w:rsid w:val="41C104B8"/>
    <w:rsid w:val="42D75E91"/>
    <w:rsid w:val="4306050C"/>
    <w:rsid w:val="4D3E2113"/>
    <w:rsid w:val="4ECD0705"/>
    <w:rsid w:val="509F7A23"/>
    <w:rsid w:val="52786F2C"/>
    <w:rsid w:val="6703068A"/>
    <w:rsid w:val="759077BF"/>
    <w:rsid w:val="7ACA370E"/>
    <w:rsid w:val="7FDA3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0"/>
    <w:rPr>
      <w:b/>
      <w:bCs/>
    </w:rPr>
  </w:style>
  <w:style w:type="paragraph" w:styleId="3">
    <w:name w:val="annotation text"/>
    <w:basedOn w:val="1"/>
    <w:link w:val="13"/>
    <w:qFormat/>
    <w:uiPriority w:val="0"/>
    <w:pPr>
      <w:jc w:val="left"/>
    </w:pPr>
  </w:style>
  <w:style w:type="paragraph" w:styleId="4">
    <w:name w:val="Plain Text"/>
    <w:basedOn w:val="1"/>
    <w:qFormat/>
    <w:uiPriority w:val="0"/>
    <w:rPr>
      <w:rFonts w:ascii="宋体" w:hAnsi="Courier New"/>
    </w:rPr>
  </w:style>
  <w:style w:type="paragraph" w:styleId="5">
    <w:name w:val="Balloon Text"/>
    <w:basedOn w:val="1"/>
    <w:link w:val="15"/>
    <w:unhideWhenUsed/>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annotation reference"/>
    <w:basedOn w:val="8"/>
    <w:qFormat/>
    <w:uiPriority w:val="0"/>
    <w:rPr>
      <w:sz w:val="21"/>
      <w:szCs w:val="21"/>
    </w:rPr>
  </w:style>
  <w:style w:type="character" w:customStyle="1" w:styleId="11">
    <w:name w:val="fontstyle01"/>
    <w:basedOn w:val="8"/>
    <w:qFormat/>
    <w:uiPriority w:val="0"/>
    <w:rPr>
      <w:rFonts w:hint="eastAsia" w:ascii="宋体" w:hAnsi="宋体" w:eastAsia="宋体"/>
      <w:color w:val="000000"/>
      <w:sz w:val="26"/>
      <w:szCs w:val="26"/>
    </w:rPr>
  </w:style>
  <w:style w:type="character" w:customStyle="1" w:styleId="12">
    <w:name w:val="fontstyle21"/>
    <w:basedOn w:val="8"/>
    <w:qFormat/>
    <w:uiPriority w:val="0"/>
    <w:rPr>
      <w:rFonts w:hint="default" w:ascii="ArialMT" w:hAnsi="ArialMT"/>
      <w:color w:val="000000"/>
      <w:sz w:val="26"/>
      <w:szCs w:val="26"/>
    </w:rPr>
  </w:style>
  <w:style w:type="character" w:customStyle="1" w:styleId="13">
    <w:name w:val="批注文字 字符"/>
    <w:basedOn w:val="8"/>
    <w:link w:val="3"/>
    <w:qFormat/>
    <w:uiPriority w:val="0"/>
    <w:rPr>
      <w:rFonts w:asciiTheme="minorHAnsi" w:hAnsiTheme="minorHAnsi" w:eastAsiaTheme="minorEastAsia" w:cstheme="minorBidi"/>
      <w:kern w:val="2"/>
      <w:sz w:val="21"/>
      <w:szCs w:val="24"/>
    </w:rPr>
  </w:style>
  <w:style w:type="character" w:customStyle="1" w:styleId="14">
    <w:name w:val="批注主题 字符"/>
    <w:basedOn w:val="13"/>
    <w:link w:val="2"/>
    <w:semiHidden/>
    <w:qFormat/>
    <w:uiPriority w:val="0"/>
    <w:rPr>
      <w:rFonts w:asciiTheme="minorHAnsi" w:hAnsiTheme="minorHAnsi" w:eastAsiaTheme="minorEastAsia" w:cstheme="minorBidi"/>
      <w:b/>
      <w:bCs/>
      <w:kern w:val="2"/>
      <w:sz w:val="21"/>
      <w:szCs w:val="24"/>
    </w:rPr>
  </w:style>
  <w:style w:type="character" w:customStyle="1" w:styleId="15">
    <w:name w:val="批注框文本 字符"/>
    <w:basedOn w:val="8"/>
    <w:link w:val="5"/>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1186</Words>
  <Characters>6762</Characters>
  <Lines>56</Lines>
  <Paragraphs>15</Paragraphs>
  <TotalTime>10</TotalTime>
  <ScaleCrop>false</ScaleCrop>
  <LinksUpToDate>false</LinksUpToDate>
  <CharactersWithSpaces>7933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2023-03-10T10:02:00Z</cp:lastPrinted>
  <dcterms:modified xsi:type="dcterms:W3CDTF">2023-03-15T01:27:14Z</dcterms:modified>
  <dc:title>附件5</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